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tabs>
          <w:tab w:val="right" w:pos="9639"/>
        </w:tabs>
        <w:spacing w:after="0"/>
        <w:rPr>
          <w:rFonts w:hint="eastAsia" w:eastAsia="宋体"/>
          <w:b/>
          <w:sz w:val="24"/>
          <w:szCs w:val="22"/>
          <w:lang w:val="en-US" w:eastAsia="zh-CN"/>
        </w:rPr>
      </w:pPr>
      <w:bookmarkStart w:id="0" w:name="OLE_LINK2"/>
      <w:bookmarkStart w:id="1" w:name="OLE_LINK7"/>
      <w:bookmarkStart w:id="2" w:name="_Toc5283382"/>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rFonts w:hint="eastAsia" w:eastAsia="宋体"/>
          <w:b/>
          <w:sz w:val="24"/>
          <w:lang w:val="en-US" w:eastAsia="zh-CN"/>
        </w:rPr>
        <w:fldChar w:fldCharType="end"/>
      </w:r>
      <w:r>
        <w:rPr>
          <w:b/>
          <w:sz w:val="24"/>
        </w:rPr>
        <w:t xml:space="preserve"> Meeting </w:t>
      </w:r>
      <w:r>
        <w:rPr>
          <w:b/>
          <w:sz w:val="24"/>
          <w:szCs w:val="22"/>
        </w:rPr>
        <w:t>#</w:t>
      </w:r>
      <w:r>
        <w:rPr>
          <w:rFonts w:hint="eastAsia" w:eastAsia="宋体"/>
          <w:b/>
          <w:sz w:val="24"/>
          <w:szCs w:val="22"/>
          <w:lang w:val="en-US" w:eastAsia="zh-CN"/>
        </w:rPr>
        <w:t>93</w:t>
      </w:r>
      <w:r>
        <w:rPr>
          <w:b/>
          <w:i/>
          <w:sz w:val="28"/>
        </w:rPr>
        <w:tab/>
      </w:r>
      <w:r>
        <w:rPr>
          <w:b/>
          <w:sz w:val="24"/>
          <w:szCs w:val="22"/>
        </w:rPr>
        <w:t>R4-191</w:t>
      </w:r>
      <w:r>
        <w:rPr>
          <w:rFonts w:hint="eastAsia" w:eastAsia="宋体"/>
          <w:b/>
          <w:sz w:val="24"/>
          <w:szCs w:val="22"/>
          <w:lang w:val="en-US" w:eastAsia="zh-CN"/>
        </w:rPr>
        <w:t>6035</w:t>
      </w:r>
      <w:bookmarkStart w:id="32" w:name="_GoBack"/>
      <w:bookmarkEnd w:id="32"/>
    </w:p>
    <w:p>
      <w:pPr>
        <w:pStyle w:val="244"/>
        <w:outlineLvl w:val="0"/>
        <w:rPr>
          <w:b/>
          <w:sz w:val="24"/>
        </w:rPr>
      </w:pPr>
      <w:r>
        <w:rPr>
          <w:rFonts w:hint="eastAsia" w:eastAsia="宋体"/>
          <w:b/>
          <w:sz w:val="24"/>
          <w:lang w:val="en-US" w:eastAsia="zh-CN"/>
        </w:rPr>
        <w:t>Reno</w:t>
      </w:r>
      <w:r>
        <w:rPr>
          <w:b/>
          <w:sz w:val="24"/>
        </w:rPr>
        <w:t>,</w:t>
      </w:r>
      <w:r>
        <w:rPr>
          <w:rFonts w:hint="eastAsia" w:eastAsia="宋体"/>
          <w:b/>
          <w:sz w:val="24"/>
          <w:lang w:val="en-US" w:eastAsia="zh-CN"/>
        </w:rPr>
        <w:t xml:space="preserve"> USA</w:t>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18</w:t>
      </w:r>
      <w:r>
        <w:rPr>
          <w:rFonts w:hint="eastAsia" w:cs="Arial"/>
          <w:b/>
          <w:sz w:val="24"/>
          <w:szCs w:val="24"/>
          <w:vertAlign w:val="superscript"/>
          <w:lang w:val="en-US" w:eastAsia="zh-CN"/>
        </w:rPr>
        <w:t>th</w:t>
      </w:r>
      <w:r>
        <w:rPr>
          <w:rFonts w:hint="eastAsia" w:cs="Arial"/>
          <w:b/>
          <w:sz w:val="24"/>
          <w:szCs w:val="24"/>
          <w:lang w:val="en-US" w:eastAsia="zh-CN"/>
        </w:rPr>
        <w:t xml:space="preserve"> Nov, 2019</w:t>
      </w:r>
      <w:r>
        <w:rPr>
          <w:rFonts w:hint="eastAsia" w:cs="Arial"/>
          <w:b/>
          <w:sz w:val="24"/>
          <w:szCs w:val="24"/>
          <w:lang w:val="en-US" w:eastAsia="zh-CN"/>
        </w:rPr>
        <w:fldChar w:fldCharType="end"/>
      </w:r>
      <w:r>
        <w:rPr>
          <w:b/>
          <w:sz w:val="24"/>
        </w:rPr>
        <w:t xml:space="preserve"> - </w:t>
      </w:r>
      <w:r>
        <w:rPr>
          <w:rFonts w:hint="eastAsia" w:eastAsia="宋体"/>
          <w:b/>
          <w:sz w:val="24"/>
          <w:lang w:val="en-US" w:eastAsia="zh-CN"/>
        </w:rPr>
        <w:t>22</w:t>
      </w:r>
      <w:r>
        <w:fldChar w:fldCharType="begin"/>
      </w:r>
      <w:r>
        <w:instrText xml:space="preserve"> DOCPROPERTY  EndDate  \* MERGEFORMAT </w:instrText>
      </w:r>
      <w:r>
        <w:fldChar w:fldCharType="separate"/>
      </w:r>
      <w:r>
        <w:rPr>
          <w:rFonts w:hint="eastAsia" w:eastAsia="宋体"/>
          <w:b/>
          <w:sz w:val="24"/>
          <w:vertAlign w:val="superscript"/>
          <w:lang w:val="en-US" w:eastAsia="zh-CN"/>
        </w:rPr>
        <w:t>th</w:t>
      </w:r>
      <w:r>
        <w:rPr>
          <w:rFonts w:hint="eastAsia" w:eastAsia="宋体"/>
          <w:b/>
          <w:sz w:val="24"/>
          <w:lang w:val="en-US" w:eastAsia="zh-CN"/>
        </w:rPr>
        <w:t xml:space="preserve"> Nov, 2019</w:t>
      </w:r>
      <w:r>
        <w:rPr>
          <w:b/>
          <w:sz w:val="24"/>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4"/>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24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rPr>
                <w:sz w:val="8"/>
                <w:szCs w:val="8"/>
              </w:rPr>
            </w:pPr>
          </w:p>
        </w:tc>
      </w:tr>
      <w:tr>
        <w:tblPrEx>
          <w:tblLayout w:type="fixed"/>
        </w:tblPrEx>
        <w:tc>
          <w:tcPr>
            <w:tcW w:w="142" w:type="dxa"/>
            <w:tcBorders>
              <w:left w:val="single" w:color="auto" w:sz="4" w:space="0"/>
            </w:tcBorders>
          </w:tcPr>
          <w:p>
            <w:pPr>
              <w:pStyle w:val="244"/>
              <w:spacing w:after="0"/>
              <w:jc w:val="right"/>
            </w:pPr>
          </w:p>
        </w:tc>
        <w:tc>
          <w:tcPr>
            <w:tcW w:w="1559" w:type="dxa"/>
            <w:shd w:val="pct30" w:color="FFFF00" w:fill="auto"/>
          </w:tcPr>
          <w:p>
            <w:pPr>
              <w:pStyle w:val="244"/>
              <w:spacing w:after="0"/>
              <w:jc w:val="right"/>
              <w:rPr>
                <w:rFonts w:eastAsia="宋体"/>
                <w:b/>
                <w:sz w:val="28"/>
                <w:lang w:val="en-US" w:eastAsia="zh-CN"/>
              </w:rPr>
            </w:pPr>
            <w:r>
              <w:rPr>
                <w:rFonts w:hint="eastAsia" w:eastAsia="宋体"/>
                <w:b/>
                <w:sz w:val="28"/>
                <w:lang w:val="en-US" w:eastAsia="zh-CN"/>
              </w:rPr>
              <w:t>38.141-2</w:t>
            </w:r>
          </w:p>
        </w:tc>
        <w:tc>
          <w:tcPr>
            <w:tcW w:w="709" w:type="dxa"/>
          </w:tcPr>
          <w:p>
            <w:pPr>
              <w:pStyle w:val="244"/>
              <w:spacing w:after="0"/>
              <w:jc w:val="center"/>
            </w:pPr>
            <w:r>
              <w:rPr>
                <w:b/>
                <w:sz w:val="28"/>
              </w:rPr>
              <w:t>CR</w:t>
            </w:r>
          </w:p>
        </w:tc>
        <w:tc>
          <w:tcPr>
            <w:tcW w:w="1276" w:type="dxa"/>
            <w:shd w:val="pct30" w:color="FFFF00" w:fill="auto"/>
          </w:tcPr>
          <w:p>
            <w:pPr>
              <w:pStyle w:val="244"/>
              <w:spacing w:after="0"/>
              <w:rPr>
                <w:rFonts w:hint="eastAsia" w:eastAsia="宋体"/>
                <w:lang w:val="en-US" w:eastAsia="zh-CN"/>
              </w:rPr>
            </w:pPr>
            <w:r>
              <w:rPr>
                <w:rFonts w:hint="eastAsia" w:eastAsia="宋体"/>
                <w:b/>
                <w:sz w:val="28"/>
                <w:szCs w:val="22"/>
                <w:lang w:val="en-US" w:eastAsia="zh-CN"/>
              </w:rPr>
              <w:t>0047</w:t>
            </w:r>
          </w:p>
        </w:tc>
        <w:tc>
          <w:tcPr>
            <w:tcW w:w="709" w:type="dxa"/>
          </w:tcPr>
          <w:p>
            <w:pPr>
              <w:pStyle w:val="244"/>
              <w:tabs>
                <w:tab w:val="right" w:pos="625"/>
              </w:tabs>
              <w:spacing w:after="0"/>
              <w:jc w:val="center"/>
            </w:pPr>
            <w:r>
              <w:rPr>
                <w:b/>
                <w:bCs/>
                <w:sz w:val="28"/>
              </w:rPr>
              <w:t>rev</w:t>
            </w:r>
          </w:p>
        </w:tc>
        <w:tc>
          <w:tcPr>
            <w:tcW w:w="992" w:type="dxa"/>
            <w:shd w:val="pct30" w:color="FFFF00" w:fill="auto"/>
          </w:tcPr>
          <w:p>
            <w:pPr>
              <w:pStyle w:val="244"/>
              <w:spacing w:after="0"/>
              <w:jc w:val="center"/>
              <w:rPr>
                <w:rFonts w:eastAsia="宋体"/>
                <w:b/>
                <w:lang w:val="en-US" w:eastAsia="zh-CN"/>
              </w:rPr>
            </w:pPr>
            <w:r>
              <w:rPr>
                <w:rFonts w:hint="eastAsia" w:eastAsia="宋体"/>
                <w:b/>
                <w:sz w:val="28"/>
                <w:szCs w:val="22"/>
                <w:lang w:val="en-US" w:eastAsia="zh-CN"/>
              </w:rPr>
              <w:t>1</w:t>
            </w:r>
          </w:p>
        </w:tc>
        <w:tc>
          <w:tcPr>
            <w:tcW w:w="2410" w:type="dxa"/>
          </w:tcPr>
          <w:p>
            <w:pPr>
              <w:pStyle w:val="244"/>
              <w:tabs>
                <w:tab w:val="right" w:pos="1825"/>
              </w:tabs>
              <w:spacing w:after="0"/>
              <w:jc w:val="center"/>
            </w:pPr>
            <w:r>
              <w:rPr>
                <w:b/>
                <w:sz w:val="28"/>
                <w:szCs w:val="28"/>
              </w:rPr>
              <w:t>Current version:</w:t>
            </w:r>
          </w:p>
        </w:tc>
        <w:tc>
          <w:tcPr>
            <w:tcW w:w="1701" w:type="dxa"/>
            <w:shd w:val="pct30" w:color="FFFF00" w:fill="auto"/>
          </w:tcPr>
          <w:p>
            <w:pPr>
              <w:pStyle w:val="244"/>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val="en-US" w:eastAsia="zh-CN"/>
              </w:rPr>
              <w:t>15.3.0</w:t>
            </w:r>
            <w:r>
              <w:rPr>
                <w:rFonts w:hint="eastAsia" w:eastAsia="宋体"/>
                <w:b/>
                <w:sz w:val="28"/>
                <w:lang w:val="en-US" w:eastAsia="zh-CN"/>
              </w:rPr>
              <w:fldChar w:fldCharType="end"/>
            </w:r>
          </w:p>
        </w:tc>
        <w:tc>
          <w:tcPr>
            <w:tcW w:w="143" w:type="dxa"/>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pPr>
          </w:p>
        </w:tc>
      </w:tr>
      <w:tr>
        <w:tblPrEx>
          <w:tblLayout w:type="fixed"/>
        </w:tblPrEx>
        <w:tc>
          <w:tcPr>
            <w:tcW w:w="9641" w:type="dxa"/>
            <w:gridSpan w:val="9"/>
            <w:tcBorders>
              <w:top w:val="single" w:color="auto" w:sz="4" w:space="0"/>
            </w:tcBorders>
          </w:tcPr>
          <w:p>
            <w:pPr>
              <w:pStyle w:val="2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w:t>
            </w:r>
            <w:bookmarkStart w:id="3" w:name="_Hlt497126619"/>
            <w:r>
              <w:rPr>
                <w:rStyle w:val="59"/>
                <w:rFonts w:cs="Arial"/>
                <w:b/>
                <w:i/>
                <w:color w:val="FF0000"/>
              </w:rPr>
              <w:t>L</w:t>
            </w:r>
            <w:bookmarkEnd w:id="3"/>
            <w:r>
              <w:rPr>
                <w:rStyle w:val="59"/>
                <w:rFonts w:cs="Arial"/>
                <w:b/>
                <w:i/>
                <w:color w:val="FF0000"/>
              </w:rPr>
              <w:t>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24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44"/>
              <w:tabs>
                <w:tab w:val="right" w:pos="2751"/>
              </w:tabs>
              <w:spacing w:after="0"/>
              <w:rPr>
                <w:b/>
                <w:i/>
              </w:rPr>
            </w:pPr>
            <w:r>
              <w:rPr>
                <w:b/>
                <w:i/>
              </w:rPr>
              <w:t>Proposed change affects:</w:t>
            </w:r>
          </w:p>
        </w:tc>
        <w:tc>
          <w:tcPr>
            <w:tcW w:w="1418" w:type="dxa"/>
          </w:tcPr>
          <w:p>
            <w:pPr>
              <w:pStyle w:val="2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4"/>
              <w:spacing w:after="0"/>
              <w:jc w:val="center"/>
              <w:rPr>
                <w:b/>
                <w:caps/>
              </w:rPr>
            </w:pPr>
          </w:p>
        </w:tc>
        <w:tc>
          <w:tcPr>
            <w:tcW w:w="709" w:type="dxa"/>
            <w:tcBorders>
              <w:left w:val="single" w:color="auto" w:sz="4" w:space="0"/>
            </w:tcBorders>
          </w:tcPr>
          <w:p>
            <w:pPr>
              <w:pStyle w:val="24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caps/>
              </w:rPr>
            </w:pPr>
          </w:p>
        </w:tc>
        <w:tc>
          <w:tcPr>
            <w:tcW w:w="2126" w:type="dxa"/>
          </w:tcPr>
          <w:p>
            <w:pPr>
              <w:pStyle w:val="2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2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4"/>
              <w:spacing w:after="0"/>
              <w:rPr>
                <w:sz w:val="8"/>
                <w:szCs w:val="8"/>
              </w:rPr>
            </w:pPr>
          </w:p>
        </w:tc>
      </w:tr>
      <w:tr>
        <w:tblPrEx>
          <w:tblLayout w:type="fixed"/>
        </w:tblPrEx>
        <w:tc>
          <w:tcPr>
            <w:tcW w:w="1843" w:type="dxa"/>
            <w:tcBorders>
              <w:top w:val="single" w:color="auto" w:sz="4" w:space="0"/>
              <w:left w:val="single" w:color="auto" w:sz="4" w:space="0"/>
            </w:tcBorders>
          </w:tcPr>
          <w:p>
            <w:pPr>
              <w:pStyle w:val="2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CR to TS38.141-2: further updates on the abbreviations (section 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PrEx>
        <w:tc>
          <w:tcPr>
            <w:tcW w:w="1843" w:type="dxa"/>
            <w:tcBorders>
              <w:left w:val="single" w:color="auto" w:sz="4" w:space="0"/>
            </w:tcBorders>
          </w:tcPr>
          <w:p>
            <w:pPr>
              <w:pStyle w:val="2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R4</w:t>
            </w:r>
          </w:p>
        </w:tc>
      </w:tr>
      <w:tr>
        <w:tblPrEx>
          <w:tblLayout w:type="fixed"/>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Work item code:</w:t>
            </w:r>
          </w:p>
        </w:tc>
        <w:tc>
          <w:tcPr>
            <w:tcW w:w="3686" w:type="dxa"/>
            <w:gridSpan w:val="5"/>
            <w:shd w:val="pct30" w:color="FFFF00" w:fill="auto"/>
          </w:tcPr>
          <w:p>
            <w:pPr>
              <w:pStyle w:val="24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pPr>
              <w:pStyle w:val="244"/>
              <w:spacing w:after="0"/>
              <w:ind w:right="100"/>
            </w:pPr>
          </w:p>
        </w:tc>
        <w:tc>
          <w:tcPr>
            <w:tcW w:w="1417" w:type="dxa"/>
            <w:gridSpan w:val="3"/>
            <w:tcBorders>
              <w:left w:val="nil"/>
            </w:tcBorders>
          </w:tcPr>
          <w:p>
            <w:pPr>
              <w:pStyle w:val="244"/>
              <w:spacing w:after="0"/>
              <w:jc w:val="right"/>
            </w:pPr>
            <w:r>
              <w:rPr>
                <w:b/>
                <w:i/>
              </w:rPr>
              <w:t>Date:</w:t>
            </w:r>
          </w:p>
        </w:tc>
        <w:tc>
          <w:tcPr>
            <w:tcW w:w="2127" w:type="dxa"/>
            <w:tcBorders>
              <w:right w:val="single" w:color="auto" w:sz="4" w:space="0"/>
            </w:tcBorders>
            <w:shd w:val="pct30" w:color="FFFF00" w:fill="auto"/>
          </w:tcPr>
          <w:p>
            <w:pPr>
              <w:pStyle w:val="244"/>
              <w:spacing w:after="0"/>
              <w:ind w:left="100"/>
              <w:rPr>
                <w:lang w:val="en-US"/>
              </w:rPr>
            </w:pPr>
            <w:r>
              <w:rPr>
                <w:rFonts w:hint="eastAsia" w:eastAsia="宋体"/>
                <w:lang w:val="en-US" w:eastAsia="zh-CN"/>
              </w:rPr>
              <w:t>2019-11-8</w:t>
            </w:r>
          </w:p>
        </w:tc>
      </w:tr>
      <w:tr>
        <w:tblPrEx>
          <w:tblLayout w:type="fixed"/>
        </w:tblPrEx>
        <w:tc>
          <w:tcPr>
            <w:tcW w:w="1843" w:type="dxa"/>
            <w:tcBorders>
              <w:left w:val="single" w:color="auto" w:sz="4" w:space="0"/>
            </w:tcBorders>
          </w:tcPr>
          <w:p>
            <w:pPr>
              <w:pStyle w:val="244"/>
              <w:spacing w:after="0"/>
              <w:rPr>
                <w:b/>
                <w:i/>
                <w:sz w:val="8"/>
                <w:szCs w:val="8"/>
              </w:rPr>
            </w:pPr>
          </w:p>
        </w:tc>
        <w:tc>
          <w:tcPr>
            <w:tcW w:w="1986" w:type="dxa"/>
            <w:gridSpan w:val="4"/>
          </w:tcPr>
          <w:p>
            <w:pPr>
              <w:pStyle w:val="244"/>
              <w:spacing w:after="0"/>
              <w:rPr>
                <w:sz w:val="8"/>
                <w:szCs w:val="8"/>
              </w:rPr>
            </w:pPr>
          </w:p>
        </w:tc>
        <w:tc>
          <w:tcPr>
            <w:tcW w:w="2267" w:type="dxa"/>
            <w:gridSpan w:val="2"/>
          </w:tcPr>
          <w:p>
            <w:pPr>
              <w:pStyle w:val="244"/>
              <w:spacing w:after="0"/>
              <w:rPr>
                <w:sz w:val="8"/>
                <w:szCs w:val="8"/>
              </w:rPr>
            </w:pPr>
          </w:p>
        </w:tc>
        <w:tc>
          <w:tcPr>
            <w:tcW w:w="1417" w:type="dxa"/>
            <w:gridSpan w:val="3"/>
          </w:tcPr>
          <w:p>
            <w:pPr>
              <w:pStyle w:val="244"/>
              <w:spacing w:after="0"/>
              <w:rPr>
                <w:sz w:val="8"/>
                <w:szCs w:val="8"/>
              </w:rPr>
            </w:pPr>
          </w:p>
        </w:tc>
        <w:tc>
          <w:tcPr>
            <w:tcW w:w="2127" w:type="dxa"/>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4"/>
              <w:tabs>
                <w:tab w:val="right" w:pos="1759"/>
              </w:tabs>
              <w:spacing w:after="0"/>
              <w:rPr>
                <w:b/>
                <w:i/>
              </w:rPr>
            </w:pPr>
            <w:r>
              <w:rPr>
                <w:b/>
                <w:i/>
              </w:rPr>
              <w:t>Category:</w:t>
            </w:r>
          </w:p>
        </w:tc>
        <w:tc>
          <w:tcPr>
            <w:tcW w:w="851" w:type="dxa"/>
            <w:shd w:val="pct30" w:color="FFFF00" w:fill="auto"/>
          </w:tcPr>
          <w:p>
            <w:pPr>
              <w:pStyle w:val="244"/>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244"/>
              <w:spacing w:after="0"/>
            </w:pPr>
          </w:p>
        </w:tc>
        <w:tc>
          <w:tcPr>
            <w:tcW w:w="1417" w:type="dxa"/>
            <w:gridSpan w:val="3"/>
            <w:tcBorders>
              <w:left w:val="nil"/>
            </w:tcBorders>
          </w:tcPr>
          <w:p>
            <w:pPr>
              <w:pStyle w:val="244"/>
              <w:spacing w:after="0"/>
              <w:jc w:val="right"/>
              <w:rPr>
                <w:b/>
                <w:i/>
              </w:rPr>
            </w:pPr>
            <w:r>
              <w:rPr>
                <w:b/>
                <w:i/>
              </w:rPr>
              <w:t>Release:</w:t>
            </w:r>
          </w:p>
        </w:tc>
        <w:tc>
          <w:tcPr>
            <w:tcW w:w="2127" w:type="dxa"/>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4"/>
              <w:spacing w:after="0"/>
              <w:rPr>
                <w:b/>
                <w:i/>
              </w:rPr>
            </w:pPr>
          </w:p>
        </w:tc>
        <w:tc>
          <w:tcPr>
            <w:tcW w:w="4677" w:type="dxa"/>
            <w:gridSpan w:val="8"/>
            <w:tcBorders>
              <w:bottom w:val="single" w:color="auto" w:sz="4" w:space="0"/>
            </w:tcBorders>
          </w:tcPr>
          <w:p>
            <w:pPr>
              <w:pStyle w:val="2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4" w:name="OLE_LINK1"/>
            <w:r>
              <w:rPr>
                <w:i/>
                <w:sz w:val="18"/>
              </w:rPr>
              <w:t>Rel-13</w:t>
            </w:r>
            <w:r>
              <w:rPr>
                <w:i/>
                <w:sz w:val="18"/>
              </w:rPr>
              <w:tab/>
            </w:r>
            <w:r>
              <w:rPr>
                <w:i/>
                <w:sz w:val="18"/>
              </w:rPr>
              <w:t>(Release 13)</w:t>
            </w:r>
            <w:bookmarkEnd w:id="4"/>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4"/>
              <w:spacing w:after="0"/>
              <w:rPr>
                <w:b/>
                <w:i/>
                <w:sz w:val="8"/>
                <w:szCs w:val="8"/>
              </w:rPr>
            </w:pPr>
          </w:p>
        </w:tc>
        <w:tc>
          <w:tcPr>
            <w:tcW w:w="7797" w:type="dxa"/>
            <w:gridSpan w:val="10"/>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Draft CR R4-1912947 has already been endorsed, CR is submitted for agreement.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2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 xml:space="preserve">Further update on the abbreviations.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Some abbreviations are missing.</w:t>
            </w:r>
          </w:p>
        </w:tc>
      </w:tr>
      <w:tr>
        <w:tblPrEx>
          <w:tblLayout w:type="fixed"/>
        </w:tblPrEx>
        <w:tc>
          <w:tcPr>
            <w:tcW w:w="2694" w:type="dxa"/>
            <w:gridSpan w:val="2"/>
          </w:tcPr>
          <w:p>
            <w:pPr>
              <w:pStyle w:val="244"/>
              <w:spacing w:after="0"/>
              <w:rPr>
                <w:b/>
                <w:i/>
                <w:sz w:val="8"/>
                <w:szCs w:val="8"/>
              </w:rPr>
            </w:pPr>
          </w:p>
        </w:tc>
        <w:tc>
          <w:tcPr>
            <w:tcW w:w="6946" w:type="dxa"/>
            <w:gridSpan w:val="9"/>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3.3 , 4.1.2.1, 4.1.3, 4.6, I.2.2</w:t>
            </w:r>
          </w:p>
        </w:tc>
      </w:tr>
      <w:tr>
        <w:tblPrEx>
          <w:tblLayout w:type="fixed"/>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2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4"/>
              <w:spacing w:after="0"/>
              <w:jc w:val="center"/>
              <w:rPr>
                <w:b/>
                <w:caps/>
              </w:rPr>
            </w:pPr>
            <w:r>
              <w:rPr>
                <w:b/>
                <w:caps/>
              </w:rPr>
              <w:t>N</w:t>
            </w:r>
          </w:p>
        </w:tc>
        <w:tc>
          <w:tcPr>
            <w:tcW w:w="2977" w:type="dxa"/>
            <w:gridSpan w:val="4"/>
          </w:tcPr>
          <w:p>
            <w:pPr>
              <w:pStyle w:val="244"/>
              <w:tabs>
                <w:tab w:val="right" w:pos="2893"/>
              </w:tabs>
              <w:spacing w:after="0"/>
            </w:pPr>
          </w:p>
        </w:tc>
        <w:tc>
          <w:tcPr>
            <w:tcW w:w="3401" w:type="dxa"/>
            <w:gridSpan w:val="3"/>
            <w:tcBorders>
              <w:right w:val="single" w:color="auto" w:sz="4" w:space="0"/>
            </w:tcBorders>
            <w:shd w:val="clear" w:color="FFFF00" w:fill="auto"/>
          </w:tcPr>
          <w:p>
            <w:pPr>
              <w:pStyle w:val="24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4"/>
              <w:spacing w:after="0"/>
              <w:ind w:left="99"/>
            </w:pPr>
            <w:bookmarkStart w:id="5" w:name="OLE_LINK3"/>
            <w:r>
              <w:t xml:space="preserve">TS/TR ... CR ... </w:t>
            </w:r>
            <w:bookmarkEnd w:id="5"/>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spacing w:after="0"/>
            </w:pPr>
            <w:r>
              <w:t xml:space="preserve"> Test specifications</w:t>
            </w:r>
          </w:p>
        </w:tc>
        <w:tc>
          <w:tcPr>
            <w:tcW w:w="3401" w:type="dxa"/>
            <w:gridSpan w:val="3"/>
            <w:tcBorders>
              <w:right w:val="single" w:color="auto" w:sz="4" w:space="0"/>
            </w:tcBorders>
            <w:shd w:val="pct30" w:color="FFFF00" w:fill="auto"/>
          </w:tcPr>
          <w:p>
            <w:pPr>
              <w:pStyle w:val="244"/>
              <w:spacing w:after="0"/>
              <w:ind w:left="99"/>
              <w:rPr>
                <w:rFonts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spacing w:after="0"/>
            </w:pPr>
            <w:r>
              <w:t xml:space="preserve"> O&amp;M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p>
        </w:tc>
        <w:tc>
          <w:tcPr>
            <w:tcW w:w="6946" w:type="dxa"/>
            <w:gridSpan w:val="9"/>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4"/>
              <w:spacing w:after="0"/>
              <w:ind w:left="100"/>
            </w:pPr>
          </w:p>
        </w:tc>
      </w:tr>
      <w:bookmarkEnd w:id="0"/>
    </w:tbl>
    <w:p>
      <w:pPr>
        <w:pStyle w:val="244"/>
        <w:spacing w:after="0"/>
        <w:rPr>
          <w:sz w:val="8"/>
          <w:szCs w:val="8"/>
        </w:rPr>
      </w:pPr>
    </w:p>
    <w:bookmarkEnd w:id="1"/>
    <w:p>
      <w:pPr>
        <w:sectPr>
          <w:headerReference r:id="rId3" w:type="even"/>
          <w:footnotePr>
            <w:numRestart w:val="eachSect"/>
          </w:footnotePr>
          <w:pgSz w:w="11907" w:h="16840"/>
          <w:pgMar w:top="1418" w:right="1134" w:bottom="1134" w:left="1134" w:header="680" w:footer="567" w:gutter="0"/>
          <w:cols w:space="720" w:num="1"/>
        </w:sectPr>
      </w:pPr>
    </w:p>
    <w:p>
      <w:bookmarkStart w:id="6" w:name="OLE_LINK6"/>
    </w:p>
    <w:p>
      <w:pPr>
        <w:pStyle w:val="4"/>
        <w:ind w:left="0" w:firstLine="0"/>
      </w:pPr>
      <w:bookmarkStart w:id="7" w:name="OLE_LINK4"/>
      <w:bookmarkStart w:id="8" w:name="OLE_LINK5"/>
      <w:bookmarkStart w:id="9" w:name="OLE_LINK8"/>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6"/>
      <w:bookmarkEnd w:id="7"/>
      <w:bookmarkEnd w:id="8"/>
    </w:p>
    <w:bookmarkEnd w:id="9"/>
    <w:p>
      <w:pPr>
        <w:pStyle w:val="3"/>
      </w:pPr>
      <w:r>
        <w:t>3.3</w:t>
      </w:r>
      <w:r>
        <w:tab/>
      </w:r>
      <w:r>
        <w:t>Abbreviations</w:t>
      </w:r>
      <w:bookmarkEnd w:id="2"/>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79"/>
      </w:pPr>
      <w:r>
        <w:t>AA</w:t>
      </w:r>
      <w:r>
        <w:tab/>
      </w:r>
      <w:r>
        <w:t>Antenna Array</w:t>
      </w:r>
    </w:p>
    <w:p>
      <w:pPr>
        <w:pStyle w:val="79"/>
      </w:pPr>
      <w:r>
        <w:t>ACLR</w:t>
      </w:r>
      <w:r>
        <w:tab/>
      </w:r>
      <w:r>
        <w:t>Adjacent Channel Leakage Ratio</w:t>
      </w:r>
    </w:p>
    <w:p>
      <w:pPr>
        <w:pStyle w:val="79"/>
        <w:rPr>
          <w:ins w:id="0" w:author="10164284" w:date="2019-08-14T21:00:00Z"/>
        </w:rPr>
      </w:pPr>
      <w:r>
        <w:t>ACS</w:t>
      </w:r>
      <w:r>
        <w:tab/>
      </w:r>
      <w:r>
        <w:t>Adjacent Channel Selectivity</w:t>
      </w:r>
    </w:p>
    <w:p>
      <w:pPr>
        <w:pStyle w:val="79"/>
      </w:pPr>
      <w:r>
        <w:t>AoA</w:t>
      </w:r>
      <w:r>
        <w:tab/>
      </w:r>
      <w:r>
        <w:t>Angle of Arrival</w:t>
      </w:r>
    </w:p>
    <w:p>
      <w:pPr>
        <w:pStyle w:val="79"/>
        <w:rPr>
          <w:lang w:eastAsia="zh-CN"/>
        </w:rPr>
      </w:pPr>
      <w:r>
        <w:rPr>
          <w:lang w:eastAsia="zh-CN"/>
        </w:rPr>
        <w:t>AWGN</w:t>
      </w:r>
      <w:r>
        <w:rPr>
          <w:lang w:eastAsia="zh-CN"/>
        </w:rPr>
        <w:tab/>
      </w:r>
      <w:r>
        <w:t>Additive White Gaussian Noise</w:t>
      </w:r>
    </w:p>
    <w:p>
      <w:pPr>
        <w:pStyle w:val="79"/>
      </w:pPr>
      <w:r>
        <w:t>BS</w:t>
      </w:r>
      <w:r>
        <w:tab/>
      </w:r>
      <w:r>
        <w:t>Base Station</w:t>
      </w:r>
    </w:p>
    <w:p>
      <w:pPr>
        <w:pStyle w:val="79"/>
      </w:pPr>
      <w:r>
        <w:t>BW</w:t>
      </w:r>
      <w:r>
        <w:tab/>
      </w:r>
      <w:r>
        <w:t>Bandwidth</w:t>
      </w:r>
    </w:p>
    <w:p>
      <w:pPr>
        <w:pStyle w:val="79"/>
      </w:pPr>
      <w:r>
        <w:t>CA</w:t>
      </w:r>
      <w:r>
        <w:tab/>
      </w:r>
      <w:r>
        <w:t>Carrier Aggregation</w:t>
      </w:r>
    </w:p>
    <w:p>
      <w:pPr>
        <w:pStyle w:val="79"/>
        <w:rPr>
          <w:ins w:id="1" w:author="10164287" w:date="2019-10-16T08:36:00Z"/>
        </w:rPr>
      </w:pPr>
      <w:bookmarkStart w:id="10" w:name="OLE_LINK12"/>
      <w:r>
        <w:t>CACLR</w:t>
      </w:r>
      <w:r>
        <w:tab/>
      </w:r>
      <w:r>
        <w:t>Cumulative ACL</w:t>
      </w:r>
      <w:bookmarkEnd w:id="10"/>
      <w:r>
        <w:t>R</w:t>
      </w:r>
      <w:bookmarkStart w:id="11" w:name="OLE_LINK13"/>
    </w:p>
    <w:p>
      <w:pPr>
        <w:pStyle w:val="79"/>
        <w:rPr>
          <w:ins w:id="2" w:author="10164284" w:date="2019-08-14T21:00:00Z"/>
          <w:rFonts w:eastAsia="宋体"/>
          <w:lang w:val="en-US" w:eastAsia="zh-CN"/>
        </w:rPr>
      </w:pPr>
      <w:ins w:id="3" w:author="10164287" w:date="2019-10-16T08:36:00Z">
        <w:r>
          <w:rPr>
            <w:rFonts w:hint="eastAsia" w:eastAsia="宋体"/>
            <w:lang w:val="en-US" w:eastAsia="zh-CN"/>
          </w:rPr>
          <w:t>CATR</w:t>
        </w:r>
      </w:ins>
      <w:ins w:id="4" w:author="10164287" w:date="2019-10-16T08:36:00Z">
        <w:r>
          <w:rPr/>
          <w:tab/>
        </w:r>
      </w:ins>
      <w:ins w:id="5" w:author="10164287" w:date="2019-10-16T08:37:00Z">
        <w:r>
          <w:rPr>
            <w:rFonts w:hint="eastAsia" w:eastAsia="宋体"/>
            <w:lang w:val="en-US" w:eastAsia="zh-CN"/>
          </w:rPr>
          <w:t>Compact Antenna Test Range</w:t>
        </w:r>
      </w:ins>
    </w:p>
    <w:bookmarkEnd w:id="11"/>
    <w:p>
      <w:pPr>
        <w:pStyle w:val="79"/>
        <w:rPr>
          <w:ins w:id="6" w:author="10164284" w:date="2019-08-14T21:02:00Z"/>
        </w:rPr>
      </w:pPr>
      <w:ins w:id="7" w:author="10164284" w:date="2019-08-14T21:02:00Z">
        <w:r>
          <w:rPr/>
          <w:t>CPE</w:t>
        </w:r>
      </w:ins>
      <w:ins w:id="8" w:author="10164284" w:date="2019-08-14T21:02:00Z">
        <w:r>
          <w:rPr/>
          <w:tab/>
        </w:r>
      </w:ins>
      <w:ins w:id="9" w:author="10164284" w:date="2019-08-14T21:02:00Z">
        <w:r>
          <w:rPr/>
          <w:t>Common Phase Error</w:t>
        </w:r>
      </w:ins>
    </w:p>
    <w:p>
      <w:pPr>
        <w:pStyle w:val="79"/>
        <w:rPr>
          <w:rFonts w:eastAsia="宋体"/>
          <w:lang w:val="en-US" w:eastAsia="zh-CN"/>
        </w:rPr>
      </w:pPr>
      <w:ins w:id="10" w:author="10164284" w:date="2019-08-14T21:02:00Z">
        <w:bookmarkStart w:id="12" w:name="OLE_LINK20"/>
        <w:r>
          <w:rPr/>
          <w:t>CP-OFDM</w:t>
        </w:r>
      </w:ins>
      <w:ins w:id="11" w:author="10164284" w:date="2019-08-14T21:02:00Z">
        <w:r>
          <w:rPr/>
          <w:tab/>
        </w:r>
      </w:ins>
      <w:ins w:id="12" w:author="10164284" w:date="2019-08-14T21:02:00Z">
        <w:r>
          <w:rPr/>
          <w:t>Cyclic Prefix-OFD</w:t>
        </w:r>
        <w:bookmarkEnd w:id="12"/>
      </w:ins>
      <w:ins w:id="13" w:author="10164284" w:date="2019-08-14T21:02:00Z">
        <w:r>
          <w:rPr>
            <w:rFonts w:hint="eastAsia" w:eastAsia="宋体"/>
            <w:lang w:val="en-US" w:eastAsia="zh-CN"/>
          </w:rPr>
          <w:t>M</w:t>
        </w:r>
      </w:ins>
    </w:p>
    <w:p>
      <w:pPr>
        <w:pStyle w:val="79"/>
        <w:rPr>
          <w:ins w:id="14" w:author="10164284" w:date="2019-08-14T21:03:00Z"/>
          <w:lang w:val="en-US" w:eastAsia="zh-CN"/>
        </w:rPr>
      </w:pPr>
      <w:r>
        <w:rPr>
          <w:lang w:val="en-US" w:eastAsia="zh-CN"/>
        </w:rPr>
        <w:t>CLTA</w:t>
      </w:r>
      <w:r>
        <w:rPr>
          <w:lang w:val="en-US" w:eastAsia="zh-CN"/>
        </w:rPr>
        <w:tab/>
      </w:r>
      <w:r>
        <w:rPr>
          <w:lang w:val="en-US" w:eastAsia="zh-CN"/>
        </w:rPr>
        <w:t>Co-Location Test Antenna</w:t>
      </w:r>
      <w:bookmarkStart w:id="13" w:name="OLE_LINK18"/>
    </w:p>
    <w:bookmarkEnd w:id="13"/>
    <w:p>
      <w:pPr>
        <w:pStyle w:val="79"/>
        <w:rPr>
          <w:ins w:id="15" w:author="10164284" w:date="2019-08-14T21:03:00Z"/>
        </w:rPr>
      </w:pPr>
      <w:r>
        <w:t>CW</w:t>
      </w:r>
      <w:r>
        <w:tab/>
      </w:r>
      <w:r>
        <w:t>Continuous Wave</w:t>
      </w:r>
    </w:p>
    <w:p>
      <w:pPr>
        <w:pStyle w:val="79"/>
        <w:rPr>
          <w:ins w:id="16" w:author="10164284" w:date="2019-08-14T21:04:00Z"/>
          <w:lang w:val="en-US" w:eastAsia="zh-CN"/>
        </w:rPr>
      </w:pPr>
      <w:ins w:id="17" w:author="10164284" w:date="2019-08-14T21:03:00Z">
        <w:bookmarkStart w:id="14" w:name="OLE_LINK10"/>
        <w:r>
          <w:rPr>
            <w:rFonts w:hint="eastAsia"/>
            <w:lang w:eastAsia="zh-CN"/>
          </w:rPr>
          <w:t>DFT-s-OFDM</w:t>
        </w:r>
      </w:ins>
      <w:ins w:id="18" w:author="10164284" w:date="2019-08-14T21:03:00Z">
        <w:r>
          <w:rPr>
            <w:rFonts w:hint="eastAsia"/>
            <w:lang w:eastAsia="zh-CN"/>
          </w:rPr>
          <w:tab/>
        </w:r>
      </w:ins>
      <w:ins w:id="19" w:author="10164284" w:date="2019-08-14T21:03:00Z">
        <w:r>
          <w:rPr>
            <w:rFonts w:hint="eastAsia"/>
            <w:lang w:eastAsia="zh-CN"/>
          </w:rPr>
          <w:t>D</w:t>
        </w:r>
      </w:ins>
      <w:ins w:id="20" w:author="10164284" w:date="2019-08-14T21:03:00Z">
        <w:r>
          <w:rPr>
            <w:lang w:eastAsia="zh-CN"/>
          </w:rPr>
          <w:t>iscrete Fourier Transform-spread-OFD</w:t>
        </w:r>
      </w:ins>
      <w:ins w:id="21" w:author="10164284" w:date="2019-08-14T21:03:00Z">
        <w:r>
          <w:rPr>
            <w:rFonts w:hint="eastAsia"/>
            <w:lang w:val="en-US" w:eastAsia="zh-CN"/>
          </w:rPr>
          <w:t>M</w:t>
        </w:r>
      </w:ins>
    </w:p>
    <w:bookmarkEnd w:id="14"/>
    <w:p>
      <w:pPr>
        <w:pStyle w:val="79"/>
        <w:rPr>
          <w:ins w:id="22" w:author="10164284" w:date="2019-08-14T21:05:00Z"/>
        </w:rPr>
      </w:pPr>
      <w:r>
        <w:t>DM-RS</w:t>
      </w:r>
      <w:r>
        <w:tab/>
      </w:r>
      <w:r>
        <w:t>Demodulation Reference Signal</w:t>
      </w:r>
      <w:bookmarkStart w:id="15" w:name="OLE_LINK19"/>
    </w:p>
    <w:bookmarkEnd w:id="15"/>
    <w:p>
      <w:pPr>
        <w:pStyle w:val="79"/>
      </w:pPr>
      <w:del w:id="23" w:author="10164287" w:date="2019-10-16T22:32:45Z">
        <w:r>
          <w:rPr>
            <w:lang w:val="en-US"/>
          </w:rPr>
          <w:delText>DUT</w:delText>
        </w:r>
      </w:del>
      <w:ins w:id="24" w:author="10164287" w:date="2019-10-16T22:32:45Z">
        <w:r>
          <w:rPr>
            <w:rFonts w:hint="eastAsia" w:eastAsia="宋体"/>
            <w:lang w:val="en-US" w:eastAsia="zh-CN"/>
          </w:rPr>
          <w:t>EUT</w:t>
        </w:r>
      </w:ins>
      <w:r>
        <w:tab/>
      </w:r>
      <w:del w:id="25" w:author="10164287" w:date="2019-10-16T09:42:44Z">
        <w:r>
          <w:rPr>
            <w:lang w:val="en-US"/>
          </w:rPr>
          <w:delText>Device</w:delText>
        </w:r>
      </w:del>
      <w:ins w:id="26" w:author="10164287" w:date="2019-10-16T09:42:57Z">
        <w:r>
          <w:rPr>
            <w:rFonts w:hint="eastAsia" w:eastAsia="宋体"/>
            <w:lang w:val="en-US" w:eastAsia="zh-CN"/>
          </w:rPr>
          <w:t>E</w:t>
        </w:r>
      </w:ins>
      <w:ins w:id="27" w:author="10164287" w:date="2019-10-16T09:44:46Z">
        <w:r>
          <w:rPr>
            <w:rFonts w:hint="eastAsia" w:eastAsia="宋体"/>
            <w:lang w:val="en-US" w:eastAsia="zh-CN"/>
          </w:rPr>
          <w:t>q</w:t>
        </w:r>
      </w:ins>
      <w:ins w:id="28" w:author="10164287" w:date="2019-10-16T09:42:58Z">
        <w:r>
          <w:rPr>
            <w:rFonts w:hint="eastAsia" w:eastAsia="宋体"/>
            <w:lang w:val="en-US" w:eastAsia="zh-CN"/>
          </w:rPr>
          <w:t>ui</w:t>
        </w:r>
      </w:ins>
      <w:ins w:id="29" w:author="10164287" w:date="2019-10-16T09:42:59Z">
        <w:r>
          <w:rPr>
            <w:rFonts w:hint="eastAsia" w:eastAsia="宋体"/>
            <w:lang w:val="en-US" w:eastAsia="zh-CN"/>
          </w:rPr>
          <w:t>pme</w:t>
        </w:r>
      </w:ins>
      <w:ins w:id="30" w:author="10164287" w:date="2019-10-16T09:43:00Z">
        <w:r>
          <w:rPr>
            <w:rFonts w:hint="eastAsia" w:eastAsia="宋体"/>
            <w:lang w:val="en-US" w:eastAsia="zh-CN"/>
          </w:rPr>
          <w:t>nt</w:t>
        </w:r>
      </w:ins>
      <w:r>
        <w:t xml:space="preserve"> Under Test</w:t>
      </w:r>
    </w:p>
    <w:p>
      <w:pPr>
        <w:pStyle w:val="79"/>
      </w:pPr>
      <w:r>
        <w:t>EIRP</w:t>
      </w:r>
      <w:r>
        <w:tab/>
      </w:r>
      <w:r>
        <w:t>Equivalent Isotropic Radiated Power</w:t>
      </w:r>
    </w:p>
    <w:p>
      <w:pPr>
        <w:pStyle w:val="79"/>
      </w:pPr>
      <w:r>
        <w:t>EIS</w:t>
      </w:r>
      <w:r>
        <w:tab/>
      </w:r>
      <w:r>
        <w:t>Equivalent Isotropic Sensitivity</w:t>
      </w:r>
    </w:p>
    <w:p>
      <w:pPr>
        <w:pStyle w:val="79"/>
        <w:rPr>
          <w:ins w:id="31" w:author="10164284" w:date="2019-08-14T21:06:00Z"/>
        </w:rPr>
      </w:pPr>
      <w:r>
        <w:t>FBW</w:t>
      </w:r>
      <w:r>
        <w:tab/>
      </w:r>
      <w:r>
        <w:t>Fractional Bandwidth</w:t>
      </w:r>
      <w:bookmarkStart w:id="16" w:name="OLE_LINK22"/>
      <w:bookmarkStart w:id="17" w:name="OLE_LINK21"/>
    </w:p>
    <w:bookmarkEnd w:id="16"/>
    <w:bookmarkEnd w:id="17"/>
    <w:p>
      <w:pPr>
        <w:pStyle w:val="79"/>
        <w:rPr>
          <w:ins w:id="32" w:author="10164284" w:date="2019-08-14T21:06:00Z"/>
        </w:rPr>
      </w:pPr>
      <w:r>
        <w:t>FR</w:t>
      </w:r>
      <w:r>
        <w:tab/>
      </w:r>
      <w:r>
        <w:t>Frequency Range</w:t>
      </w:r>
    </w:p>
    <w:p>
      <w:pPr>
        <w:pStyle w:val="79"/>
        <w:rPr>
          <w:ins w:id="33" w:author="10164284" w:date="2019-08-14T21:08:00Z"/>
        </w:rPr>
      </w:pPr>
      <w:r>
        <w:t>GSCN</w:t>
      </w:r>
      <w:r>
        <w:tab/>
      </w:r>
      <w:r>
        <w:t>Global Synchronization Channel Number</w:t>
      </w:r>
    </w:p>
    <w:p>
      <w:pPr>
        <w:pStyle w:val="79"/>
      </w:pPr>
      <w:r>
        <w:t>ICS</w:t>
      </w:r>
      <w:r>
        <w:tab/>
      </w:r>
      <w:r>
        <w:t>In-Channel Selectivity</w:t>
      </w:r>
    </w:p>
    <w:p>
      <w:pPr>
        <w:pStyle w:val="79"/>
      </w:pPr>
      <w:r>
        <w:t>ITU</w:t>
      </w:r>
      <w:r>
        <w:noBreakHyphen/>
      </w:r>
      <w:r>
        <w:t>R</w:t>
      </w:r>
      <w:r>
        <w:tab/>
      </w:r>
      <w:r>
        <w:t>Radiocommunication Sector of the International Telecommunication Union</w:t>
      </w:r>
    </w:p>
    <w:p>
      <w:pPr>
        <w:pStyle w:val="79"/>
      </w:pPr>
      <w:r>
        <w:t>LA</w:t>
      </w:r>
      <w:r>
        <w:tab/>
      </w:r>
      <w:r>
        <w:t>Local Area</w:t>
      </w:r>
    </w:p>
    <w:p>
      <w:pPr>
        <w:pStyle w:val="79"/>
      </w:pPr>
      <w:r>
        <w:t>LNA</w:t>
      </w:r>
      <w:r>
        <w:tab/>
      </w:r>
      <w:r>
        <w:t>Low Noise Amplifier</w:t>
      </w:r>
    </w:p>
    <w:p>
      <w:pPr>
        <w:pStyle w:val="79"/>
        <w:rPr>
          <w:ins w:id="34" w:author="10164284" w:date="2019-08-14T21:09:00Z"/>
        </w:rPr>
      </w:pPr>
      <w:r>
        <w:t>MR</w:t>
      </w:r>
      <w:r>
        <w:tab/>
      </w:r>
      <w:r>
        <w:t>Medium Range</w:t>
      </w:r>
    </w:p>
    <w:p>
      <w:pPr>
        <w:pStyle w:val="79"/>
      </w:pPr>
      <w:r>
        <w:t>NR</w:t>
      </w:r>
      <w:r>
        <w:tab/>
      </w:r>
      <w:r>
        <w:t>New Radio</w:t>
      </w:r>
    </w:p>
    <w:p>
      <w:pPr>
        <w:pStyle w:val="79"/>
      </w:pPr>
      <w:r>
        <w:t>NR-ARFCN</w:t>
      </w:r>
      <w:r>
        <w:tab/>
      </w:r>
      <w:r>
        <w:t>NR Absolute Radio Frequency Channel Number</w:t>
      </w:r>
    </w:p>
    <w:p>
      <w:pPr>
        <w:pStyle w:val="79"/>
        <w:rPr>
          <w:ins w:id="35" w:author="10164284" w:date="2019-08-14T21:10:00Z"/>
        </w:rPr>
      </w:pPr>
      <w:r>
        <w:t>OBUE</w:t>
      </w:r>
      <w:r>
        <w:tab/>
      </w:r>
      <w:r>
        <w:t>Operating Band Unwanted Emissions</w:t>
      </w:r>
    </w:p>
    <w:p>
      <w:pPr>
        <w:pStyle w:val="79"/>
        <w:rPr>
          <w:ins w:id="36" w:author="10164284" w:date="2019-08-14T21:10:00Z"/>
          <w:rFonts w:eastAsia="宋体"/>
          <w:lang w:val="en-US" w:eastAsia="zh-CN"/>
        </w:rPr>
      </w:pPr>
      <w:ins w:id="37" w:author="10164284" w:date="2019-08-14T21:10:00Z">
        <w:r>
          <w:rPr/>
          <w:t>O</w:t>
        </w:r>
      </w:ins>
      <w:ins w:id="38" w:author="10164284" w:date="2019-08-14T21:10:00Z">
        <w:r>
          <w:rPr>
            <w:rFonts w:hint="eastAsia" w:eastAsia="宋体"/>
            <w:lang w:val="en-US" w:eastAsia="zh-CN"/>
          </w:rPr>
          <w:t>CC</w:t>
        </w:r>
      </w:ins>
      <w:ins w:id="39" w:author="10164284" w:date="2019-08-14T21:10:00Z">
        <w:r>
          <w:rPr/>
          <w:tab/>
        </w:r>
      </w:ins>
      <w:ins w:id="40" w:author="10164284" w:date="2019-08-14T21:10:00Z">
        <w:r>
          <w:rPr/>
          <w:t>O</w:t>
        </w:r>
      </w:ins>
      <w:ins w:id="41" w:author="10164284" w:date="2019-08-14T21:10:00Z">
        <w:r>
          <w:rPr>
            <w:rFonts w:hint="eastAsia" w:eastAsia="宋体"/>
            <w:lang w:val="en-US" w:eastAsia="zh-CN"/>
          </w:rPr>
          <w:t>rthogonal Covering Code</w:t>
        </w:r>
      </w:ins>
    </w:p>
    <w:p>
      <w:pPr>
        <w:pStyle w:val="79"/>
      </w:pPr>
      <w:r>
        <w:t>OSDD</w:t>
      </w:r>
      <w:r>
        <w:tab/>
      </w:r>
      <w:r>
        <w:t>OTA Sensitivity Directions Declaration</w:t>
      </w:r>
    </w:p>
    <w:p>
      <w:pPr>
        <w:pStyle w:val="79"/>
        <w:rPr>
          <w:ins w:id="42" w:author="10164284" w:date="2019-08-14T21:10:00Z"/>
        </w:rPr>
      </w:pPr>
      <w:r>
        <w:t>OTA</w:t>
      </w:r>
      <w:r>
        <w:tab/>
      </w:r>
      <w:r>
        <w:t>Over The Air</w:t>
      </w:r>
      <w:bookmarkStart w:id="18" w:name="OLE_LINK14"/>
    </w:p>
    <w:bookmarkEnd w:id="18"/>
    <w:p>
      <w:pPr>
        <w:pStyle w:val="79"/>
        <w:rPr>
          <w:ins w:id="43" w:author="10164284" w:date="2019-08-14T21:12:00Z"/>
        </w:rPr>
      </w:pPr>
      <w:r>
        <w:t>PT-RS</w:t>
      </w:r>
      <w:r>
        <w:tab/>
      </w:r>
      <w:r>
        <w:t>Phase Tracking Reference Signal</w:t>
      </w:r>
      <w:bookmarkStart w:id="19" w:name="OLE_LINK16"/>
    </w:p>
    <w:bookmarkEnd w:id="19"/>
    <w:p>
      <w:pPr>
        <w:pStyle w:val="79"/>
        <w:rPr>
          <w:rFonts w:eastAsia="宋体"/>
          <w:lang w:val="en-US" w:eastAsia="zh-CN"/>
        </w:rPr>
      </w:pPr>
      <w:ins w:id="44" w:author="10164284" w:date="2019-08-14T21:11:00Z">
        <w:bookmarkStart w:id="20" w:name="OLE_LINK17"/>
        <w:r>
          <w:rPr/>
          <w:t>RB</w:t>
        </w:r>
      </w:ins>
      <w:ins w:id="45" w:author="10164284" w:date="2019-08-14T21:11:00Z">
        <w:r>
          <w:rPr/>
          <w:tab/>
        </w:r>
      </w:ins>
      <w:ins w:id="46" w:author="10164284" w:date="2019-08-14T21:11:00Z">
        <w:r>
          <w:rPr/>
          <w:t>Resource Bloc</w:t>
        </w:r>
        <w:bookmarkEnd w:id="20"/>
      </w:ins>
      <w:ins w:id="47" w:author="10164284" w:date="2019-08-14T21:12:00Z">
        <w:r>
          <w:rPr>
            <w:rFonts w:hint="eastAsia" w:eastAsia="宋体"/>
            <w:lang w:val="en-US" w:eastAsia="zh-CN"/>
          </w:rPr>
          <w:t>k</w:t>
        </w:r>
      </w:ins>
    </w:p>
    <w:p>
      <w:pPr>
        <w:pStyle w:val="79"/>
        <w:rPr>
          <w:ins w:id="48" w:author="10164284" w:date="2019-08-14T21:12:00Z"/>
        </w:rPr>
      </w:pPr>
      <w:r>
        <w:t>RDN</w:t>
      </w:r>
      <w:r>
        <w:tab/>
      </w:r>
      <w:r>
        <w:t>Radio Distribution Network</w:t>
      </w:r>
    </w:p>
    <w:p>
      <w:pPr>
        <w:pStyle w:val="79"/>
        <w:rPr>
          <w:ins w:id="49" w:author="10164284" w:date="2019-08-14T21:12:00Z"/>
        </w:rPr>
      </w:pPr>
      <w:r>
        <w:t>REFSENS</w:t>
      </w:r>
      <w:r>
        <w:tab/>
      </w:r>
      <w:r>
        <w:t>Reference Sensitivity</w:t>
      </w:r>
    </w:p>
    <w:p>
      <w:pPr>
        <w:pStyle w:val="79"/>
      </w:pPr>
      <w:r>
        <w:t>RIB</w:t>
      </w:r>
      <w:r>
        <w:tab/>
      </w:r>
      <w:r>
        <w:t>Radiated Interface Boundary</w:t>
      </w:r>
    </w:p>
    <w:p>
      <w:pPr>
        <w:pStyle w:val="79"/>
      </w:pPr>
      <w:r>
        <w:t>RMS</w:t>
      </w:r>
      <w:r>
        <w:tab/>
      </w:r>
      <w:r>
        <w:t>Root Mean Square (value)</w:t>
      </w:r>
    </w:p>
    <w:p>
      <w:pPr>
        <w:pStyle w:val="79"/>
        <w:rPr>
          <w:ins w:id="50" w:author="10164284" w:date="2019-08-14T21:14:00Z"/>
        </w:rPr>
      </w:pPr>
      <w:r>
        <w:t>RS</w:t>
      </w:r>
      <w:r>
        <w:tab/>
      </w:r>
      <w:r>
        <w:t>Reference Signal</w:t>
      </w:r>
    </w:p>
    <w:p>
      <w:pPr>
        <w:pStyle w:val="79"/>
        <w:rPr>
          <w:lang w:val="en-US"/>
        </w:rPr>
      </w:pPr>
      <w:ins w:id="51" w:author="10164284" w:date="2019-08-14T21:14:00Z">
        <w:bookmarkStart w:id="21" w:name="OLE_LINK9"/>
        <w:r>
          <w:rPr>
            <w:lang w:eastAsia="zh-CN"/>
          </w:rPr>
          <w:t>R</w:t>
        </w:r>
      </w:ins>
      <w:ins w:id="52" w:author="10164284" w:date="2019-08-14T21:14:00Z">
        <w:r>
          <w:rPr>
            <w:rFonts w:hint="eastAsia"/>
            <w:lang w:val="en-US" w:eastAsia="zh-CN"/>
          </w:rPr>
          <w:t>V</w:t>
        </w:r>
      </w:ins>
      <w:ins w:id="53" w:author="10164284" w:date="2019-08-14T21:14:00Z">
        <w:r>
          <w:rPr>
            <w:lang w:eastAsia="zh-CN"/>
          </w:rPr>
          <w:tab/>
        </w:r>
      </w:ins>
      <w:ins w:id="54" w:author="10164284" w:date="2019-08-14T21:14:00Z">
        <w:r>
          <w:rPr>
            <w:lang w:eastAsia="zh-CN"/>
          </w:rPr>
          <w:t>R</w:t>
        </w:r>
      </w:ins>
      <w:ins w:id="55" w:author="10164284" w:date="2019-08-14T21:14:00Z">
        <w:r>
          <w:rPr>
            <w:rFonts w:hint="eastAsia"/>
            <w:lang w:val="en-US" w:eastAsia="zh-CN"/>
          </w:rPr>
          <w:t>edundancy Version</w:t>
        </w:r>
      </w:ins>
    </w:p>
    <w:bookmarkEnd w:id="21"/>
    <w:p>
      <w:pPr>
        <w:pStyle w:val="79"/>
      </w:pPr>
      <w:r>
        <w:t>RX</w:t>
      </w:r>
      <w:r>
        <w:tab/>
      </w:r>
      <w:r>
        <w:t>Receiver</w:t>
      </w:r>
    </w:p>
    <w:p>
      <w:pPr>
        <w:pStyle w:val="79"/>
      </w:pPr>
      <w:r>
        <w:rPr>
          <w:bCs/>
        </w:rPr>
        <w:t>RoAoA</w:t>
      </w:r>
      <w:r>
        <w:rPr>
          <w:bCs/>
        </w:rPr>
        <w:tab/>
      </w:r>
      <w:r>
        <w:t>Range of Angles of Arrival</w:t>
      </w:r>
    </w:p>
    <w:p>
      <w:pPr>
        <w:pStyle w:val="79"/>
        <w:rPr>
          <w:ins w:id="56" w:author="10164287" w:date="2019-10-16T08:50:00Z"/>
        </w:rPr>
      </w:pPr>
      <w:r>
        <w:t>SCS</w:t>
      </w:r>
      <w:r>
        <w:tab/>
      </w:r>
      <w:r>
        <w:t>Sub-Carrier Spacing</w:t>
      </w:r>
    </w:p>
    <w:p>
      <w:pPr>
        <w:pStyle w:val="79"/>
        <w:rPr>
          <w:rFonts w:eastAsia="宋体"/>
          <w:lang w:val="en-US" w:eastAsia="zh-CN"/>
        </w:rPr>
      </w:pPr>
      <w:ins w:id="57" w:author="10164287" w:date="2019-10-16T08:50:00Z">
        <w:r>
          <w:rPr/>
          <w:t>SSB</w:t>
        </w:r>
      </w:ins>
      <w:ins w:id="58" w:author="10164287" w:date="2019-10-16T08:50:00Z">
        <w:r>
          <w:rPr/>
          <w:tab/>
        </w:r>
      </w:ins>
      <w:ins w:id="59" w:author="10164287" w:date="2019-10-16T08:50:00Z">
        <w:r>
          <w:rPr/>
          <w:t>Synchronization Signal Bloc</w:t>
        </w:r>
      </w:ins>
      <w:ins w:id="60" w:author="10164287" w:date="2019-10-16T08:50:00Z">
        <w:r>
          <w:rPr>
            <w:rFonts w:hint="eastAsia" w:eastAsia="宋体"/>
            <w:lang w:val="en-US" w:eastAsia="zh-CN"/>
          </w:rPr>
          <w:t>k</w:t>
        </w:r>
      </w:ins>
    </w:p>
    <w:p>
      <w:pPr>
        <w:pStyle w:val="79"/>
        <w:rPr>
          <w:bCs/>
        </w:rPr>
      </w:pPr>
      <w:r>
        <w:rPr>
          <w:bCs/>
        </w:rPr>
        <w:t>TAB</w:t>
      </w:r>
      <w:r>
        <w:rPr>
          <w:bCs/>
        </w:rPr>
        <w:tab/>
      </w:r>
      <w:r>
        <w:rPr>
          <w:bCs/>
        </w:rPr>
        <w:t>Transceiver Array Boundary</w:t>
      </w:r>
    </w:p>
    <w:p>
      <w:pPr>
        <w:pStyle w:val="79"/>
      </w:pPr>
      <w:r>
        <w:t>TAE</w:t>
      </w:r>
      <w:r>
        <w:tab/>
      </w:r>
      <w:r>
        <w:t>Time Alignment Error</w:t>
      </w:r>
    </w:p>
    <w:p>
      <w:pPr>
        <w:pStyle w:val="79"/>
        <w:rPr>
          <w:ins w:id="61" w:author="10164284" w:date="2019-08-14T21:15:00Z"/>
        </w:rPr>
      </w:pPr>
      <w:r>
        <w:t>TDD</w:t>
      </w:r>
      <w:r>
        <w:tab/>
      </w:r>
      <w:r>
        <w:t>Time Division Duplex</w:t>
      </w:r>
      <w:bookmarkStart w:id="22" w:name="OLE_LINK28"/>
      <w:bookmarkStart w:id="23" w:name="OLE_LINK27"/>
    </w:p>
    <w:p>
      <w:pPr>
        <w:pStyle w:val="79"/>
        <w:rPr>
          <w:ins w:id="62" w:author="10164284" w:date="2019-08-14T21:15:00Z"/>
          <w:rFonts w:eastAsia="宋体"/>
          <w:lang w:val="en-US" w:eastAsia="zh-CN"/>
        </w:rPr>
      </w:pPr>
      <w:ins w:id="63" w:author="10164284" w:date="2019-08-14T21:15:00Z">
        <w:r>
          <w:rPr/>
          <w:t>TDL</w:t>
        </w:r>
      </w:ins>
      <w:ins w:id="64" w:author="10164284" w:date="2019-08-14T21:15:00Z">
        <w:r>
          <w:rPr/>
          <w:tab/>
        </w:r>
      </w:ins>
      <w:ins w:id="65" w:author="10164284" w:date="2019-08-14T21:15:00Z">
        <w:r>
          <w:rPr/>
          <w:t>Tapped Delay Lin</w:t>
        </w:r>
        <w:bookmarkEnd w:id="22"/>
      </w:ins>
      <w:ins w:id="66" w:author="10164284" w:date="2019-08-14T21:15:00Z">
        <w:r>
          <w:rPr>
            <w:rFonts w:hint="eastAsia" w:eastAsia="宋体"/>
            <w:lang w:val="en-US" w:eastAsia="zh-CN"/>
          </w:rPr>
          <w:t>e</w:t>
        </w:r>
      </w:ins>
    </w:p>
    <w:bookmarkEnd w:id="23"/>
    <w:p>
      <w:pPr>
        <w:pStyle w:val="79"/>
        <w:rPr>
          <w:bCs/>
        </w:rPr>
      </w:pPr>
      <w:r>
        <w:rPr>
          <w:bCs/>
        </w:rPr>
        <w:t>TRP</w:t>
      </w:r>
      <w:r>
        <w:rPr>
          <w:bCs/>
        </w:rPr>
        <w:tab/>
      </w:r>
      <w:r>
        <w:t>Total Radiated Power</w:t>
      </w:r>
    </w:p>
    <w:p>
      <w:pPr>
        <w:pStyle w:val="79"/>
        <w:rPr>
          <w:ins w:id="67" w:author="10164284" w:date="2019-08-14T21:16:00Z"/>
        </w:rPr>
      </w:pPr>
      <w:r>
        <w:t>TT</w:t>
      </w:r>
      <w:r>
        <w:tab/>
      </w:r>
      <w:r>
        <w:t>Test Tolerance</w:t>
      </w:r>
      <w:bookmarkStart w:id="24" w:name="OLE_LINK29"/>
    </w:p>
    <w:p>
      <w:pPr>
        <w:pStyle w:val="79"/>
        <w:rPr>
          <w:ins w:id="68" w:author="10164284" w:date="2019-08-14T21:16:00Z"/>
          <w:rFonts w:eastAsia="宋体"/>
          <w:lang w:val="en-US" w:eastAsia="zh-CN"/>
        </w:rPr>
      </w:pPr>
      <w:ins w:id="69" w:author="10164284" w:date="2019-08-14T21:16:00Z">
        <w:bookmarkStart w:id="25" w:name="OLE_LINK11"/>
        <w:r>
          <w:rPr/>
          <w:t>UCI</w:t>
        </w:r>
      </w:ins>
      <w:ins w:id="70" w:author="10164284" w:date="2019-08-14T21:16:00Z">
        <w:r>
          <w:rPr/>
          <w:tab/>
        </w:r>
      </w:ins>
      <w:ins w:id="71" w:author="10164284" w:date="2019-08-14T21:16:00Z">
        <w:r>
          <w:rPr/>
          <w:t>Uplink Control Informatio</w:t>
        </w:r>
      </w:ins>
      <w:ins w:id="72" w:author="10164284" w:date="2019-08-14T21:16:00Z">
        <w:r>
          <w:rPr>
            <w:rFonts w:hint="eastAsia" w:eastAsia="宋体"/>
            <w:lang w:val="en-US" w:eastAsia="zh-CN"/>
          </w:rPr>
          <w:t>n</w:t>
        </w:r>
      </w:ins>
    </w:p>
    <w:bookmarkEnd w:id="25"/>
    <w:p>
      <w:pPr>
        <w:pStyle w:val="79"/>
        <w:rPr>
          <w:rFonts w:eastAsia="宋体"/>
          <w:b/>
          <w:bCs/>
          <w:lang w:val="en-US" w:eastAsia="zh-CN"/>
          <w:rPrChange w:id="73" w:author="10164284" w:date="2019-08-14T21:16:00Z">
            <w:rPr/>
          </w:rPrChange>
        </w:rPr>
      </w:pPr>
      <w:ins w:id="74" w:author="10164284" w:date="2019-08-14T21:16:00Z">
        <w:r>
          <w:rPr/>
          <w:t>ZF</w:t>
        </w:r>
      </w:ins>
      <w:ins w:id="75" w:author="10164284" w:date="2019-08-14T21:16:00Z">
        <w:r>
          <w:rPr/>
          <w:tab/>
        </w:r>
      </w:ins>
      <w:ins w:id="76" w:author="10164284" w:date="2019-08-14T21:16:00Z">
        <w:r>
          <w:rPr/>
          <w:t>Zero Forcin</w:t>
        </w:r>
        <w:bookmarkEnd w:id="24"/>
      </w:ins>
      <w:ins w:id="77" w:author="10164284" w:date="2019-08-14T21:17:00Z">
        <w:r>
          <w:rPr>
            <w:rFonts w:hint="eastAsia" w:eastAsia="宋体"/>
            <w:lang w:val="en-US" w:eastAsia="zh-CN"/>
          </w:rPr>
          <w:t>g</w:t>
        </w:r>
      </w:ins>
    </w:p>
    <w:p>
      <w:pPr>
        <w:pStyle w:val="4"/>
        <w:ind w:left="0" w:firstLine="0"/>
      </w:pPr>
      <w:bookmarkStart w:id="26" w:name="OLE_LINK15"/>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bookmarkEnd w:id="26"/>
    <w:p>
      <w:pPr>
        <w:pStyle w:val="5"/>
      </w:pPr>
      <w:bookmarkStart w:id="27" w:name="_Toc13081863"/>
      <w:r>
        <w:t>4.1.2.1</w:t>
      </w:r>
      <w:r>
        <w:tab/>
      </w:r>
      <w:r>
        <w:t>General</w:t>
      </w:r>
      <w:bookmarkEnd w:id="27"/>
    </w:p>
    <w:p>
      <w:pPr>
        <w:rPr>
          <w:rFonts w:cs="v4.2.0"/>
        </w:rPr>
      </w:pPr>
      <w:r>
        <w:rPr>
          <w:rFonts w:cs="v4.2.0"/>
        </w:rPr>
        <w:t xml:space="preserve">The maximum acceptable uncertainty of the OTA Test System is specified below for each radiated test defined </w:t>
      </w:r>
      <w:r>
        <w:rPr>
          <w:rFonts w:cs="v5.0.0"/>
          <w:snapToGrid w:val="0"/>
        </w:rPr>
        <w:t>explicitly in the present specification</w:t>
      </w:r>
      <w:r>
        <w:rPr>
          <w:rFonts w:cs="v4.2.0"/>
        </w:rPr>
        <w:t>, where appropriate.</w:t>
      </w:r>
    </w:p>
    <w:p>
      <w:pPr>
        <w:rPr>
          <w:rFonts w:cs="v4.2.0"/>
        </w:rPr>
      </w:pPr>
      <w:r>
        <w:rPr>
          <w:rFonts w:cs="v4.2.0"/>
        </w:rPr>
        <w:t xml:space="preserve">The OTA Test System shall enable the stimulus signals in the test case to be adjusted to within the specified tolerance and the </w:t>
      </w:r>
      <w:del w:id="78" w:author="10164287" w:date="2019-10-16T22:32:45Z">
        <w:r>
          <w:rPr>
            <w:rFonts w:cs="v4.2.0"/>
          </w:rPr>
          <w:delText>DUT</w:delText>
        </w:r>
      </w:del>
      <w:ins w:id="79" w:author="10164287" w:date="2019-10-16T22:32:45Z">
        <w:r>
          <w:rPr>
            <w:rFonts w:hint="eastAsia" w:eastAsia="宋体" w:cs="v4.2.0"/>
            <w:lang w:eastAsia="zh-CN"/>
          </w:rPr>
          <w:t>EUT</w:t>
        </w:r>
      </w:ins>
      <w:r>
        <w:rPr>
          <w:rFonts w:cs="v4.2.0"/>
        </w:rPr>
        <w:t xml:space="preserve"> to be measured with an uncertainty not exceeding the specified values. All tolerances and uncertainties are absolute values, and are valid for a confidence level of 95 %, unless otherwise stated.</w:t>
      </w:r>
    </w:p>
    <w:p>
      <w:pPr>
        <w:rPr>
          <w:rFonts w:cs="v4.2.0"/>
        </w:rPr>
      </w:pPr>
      <w:r>
        <w:rPr>
          <w:rFonts w:cs="v4.2.0"/>
        </w:rPr>
        <w:t>A confidence level of 95% is the measurement uncertainty tolerance interval for a specific measurement that contains 95% of the performance of a population of test equipment.</w:t>
      </w:r>
    </w:p>
    <w:p>
      <w:pPr>
        <w:rPr>
          <w:rFonts w:cs="v4.2.0"/>
        </w:rPr>
      </w:pPr>
      <w:r>
        <w:rPr>
          <w:rFonts w:cs="v4.2.0"/>
        </w:rPr>
        <w:t>For d</w:t>
      </w:r>
      <w:r>
        <w:t>etails on measurement uncertainty budget calculation, OTA measurement methodology description (including calibration and measurement stage for each test range), MU budget format and its contributions, refer to TR 37.843 [16]</w:t>
      </w:r>
      <w:r>
        <w:rPr>
          <w:rFonts w:cs="v5.0.0"/>
          <w:snapToGrid w:val="0"/>
        </w:rPr>
        <w:t>.</w:t>
      </w:r>
    </w:p>
    <w:p>
      <w:pPr>
        <w:pStyle w:val="4"/>
        <w:ind w:left="0" w:firstLine="0"/>
      </w:pPr>
      <w:bookmarkStart w:id="28" w:name="OLE_LINK23"/>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bookmarkEnd w:id="28"/>
    <w:p>
      <w:pPr>
        <w:pStyle w:val="4"/>
        <w:rPr>
          <w:lang w:eastAsia="sv-SE"/>
        </w:rPr>
      </w:pPr>
      <w:bookmarkStart w:id="29" w:name="_Toc13081867"/>
      <w:r>
        <w:rPr>
          <w:lang w:eastAsia="sv-SE"/>
        </w:rPr>
        <w:t>4.1.</w:t>
      </w:r>
      <w:r>
        <w:t>3</w:t>
      </w:r>
      <w:r>
        <w:rPr>
          <w:lang w:eastAsia="sv-SE"/>
        </w:rPr>
        <w:tab/>
      </w:r>
      <w:r>
        <w:rPr>
          <w:lang w:eastAsia="sv-SE"/>
        </w:rPr>
        <w:t>Interpretation of measurement results</w:t>
      </w:r>
      <w:bookmarkEnd w:id="29"/>
    </w:p>
    <w:p>
      <w:pPr>
        <w:rPr>
          <w:rFonts w:cs="v4.2.0"/>
        </w:rPr>
      </w:pPr>
      <w:r>
        <w:rPr>
          <w:rFonts w:cs="v4.2.0"/>
          <w:snapToGrid w:val="0"/>
        </w:rPr>
        <w:t xml:space="preserve">The measurement results returned by the OTA Test System are compared - without any modification - against the test requirements as defined by the Shared Risk principle </w:t>
      </w:r>
      <w:r>
        <w:rPr>
          <w:rFonts w:cs="v5.0.0"/>
          <w:snapToGrid w:val="0"/>
        </w:rPr>
        <w:t>in Recommendation ITU-R M.1545 [4].</w:t>
      </w:r>
    </w:p>
    <w:p>
      <w:pPr>
        <w:rPr>
          <w:rFonts w:cs="v4.2.0"/>
        </w:rPr>
      </w:pPr>
      <w:r>
        <w:rPr>
          <w:rFonts w:cs="v4.2.0"/>
        </w:rPr>
        <w:t>The actual measurement uncertainty of the OTA Test System for the measurement of each parameter shall be included in the test report.</w:t>
      </w:r>
    </w:p>
    <w:p>
      <w:pPr>
        <w:rPr>
          <w:rFonts w:cs="v4.2.0"/>
        </w:rPr>
      </w:pPr>
      <w:r>
        <w:rPr>
          <w:rFonts w:cs="v4.2.0"/>
        </w:rPr>
        <w:t>The recorded value for the OTA Test System uncertainty shall be, for each OTA measurement, equal to or lower than the appropriate figure in subclause 4.1.2 of this specification.</w:t>
      </w:r>
    </w:p>
    <w:p>
      <w:pPr>
        <w:rPr>
          <w:rFonts w:cs="v4.2.0"/>
        </w:rPr>
      </w:pPr>
      <w:r>
        <w:rPr>
          <w:rFonts w:cs="v4.2.0"/>
        </w:rPr>
        <w:t>If the OTA Test System for an OTA test is known to have a measurement uncertainty greater than that specified in subclause 4.1.2, it is still permitted to use this apparatus provided that an adjustment is made as follows:</w:t>
      </w:r>
    </w:p>
    <w:p>
      <w:r>
        <w:t xml:space="preserve">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w:t>
      </w:r>
      <w:del w:id="80" w:author="10164287" w:date="2019-10-16T22:32:45Z">
        <w:r>
          <w:rPr/>
          <w:delText>DUT</w:delText>
        </w:r>
      </w:del>
      <w:ins w:id="81" w:author="10164287" w:date="2019-10-16T22:32:45Z">
        <w:r>
          <w:rPr>
            <w:rFonts w:hint="eastAsia" w:eastAsia="宋体"/>
            <w:lang w:eastAsia="zh-CN"/>
          </w:rPr>
          <w:t>EUT</w:t>
        </w:r>
      </w:ins>
      <w:r>
        <w:t xml:space="preserve"> where that device would otherwise have failed the test if an OTA Test System compliant with subclause 4.1.2 had been used.</w:t>
      </w:r>
    </w:p>
    <w:p>
      <w:pPr>
        <w:pStyle w:val="4"/>
        <w:ind w:left="0" w:firstLine="0"/>
        <w:rPr>
          <w:rFonts w:hint="eastAsia" w:eastAsia="宋体"/>
          <w:color w:val="FF0000"/>
          <w:lang w:val="en-US" w:eastAsia="zh-CN"/>
        </w:rPr>
      </w:pPr>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p>
      <w:pPr>
        <w:pStyle w:val="3"/>
        <w:rPr>
          <w:rFonts w:cs="v4.2.0"/>
        </w:rPr>
      </w:pPr>
      <w:bookmarkStart w:id="30" w:name="_Toc13081876"/>
      <w:r>
        <w:rPr>
          <w:rFonts w:cs="v4.2.0"/>
        </w:rPr>
        <w:t>4.6</w:t>
      </w:r>
      <w:r>
        <w:rPr>
          <w:rFonts w:cs="v4.2.0"/>
        </w:rPr>
        <w:tab/>
      </w:r>
      <w:r>
        <w:rPr>
          <w:rFonts w:cs="v4.2.0"/>
        </w:rPr>
        <w:t>Manufacturer’s declarations</w:t>
      </w:r>
      <w:bookmarkEnd w:id="30"/>
    </w:p>
    <w:p>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subclause 4.6.</w:t>
      </w:r>
    </w:p>
    <w:p>
      <w:pPr>
        <w:pStyle w:val="82"/>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62"/>
        <w:tblW w:w="10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5"/>
        <w:gridCol w:w="2184"/>
        <w:gridCol w:w="4978"/>
        <w:gridCol w:w="826"/>
        <w:gridCol w:w="546"/>
        <w:gridCol w:w="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trPr>
        <w:tc>
          <w:tcPr>
            <w:tcW w:w="1175" w:type="dxa"/>
            <w:vMerge w:val="restart"/>
            <w:tcBorders>
              <w:top w:val="single" w:color="auto" w:sz="4" w:space="0"/>
              <w:left w:val="single" w:color="auto" w:sz="4" w:space="0"/>
              <w:right w:val="single" w:color="auto" w:sz="4" w:space="0"/>
            </w:tcBorders>
          </w:tcPr>
          <w:p>
            <w:pPr>
              <w:pStyle w:val="73"/>
            </w:pPr>
            <w:r>
              <w:t>Declaration identifier</w:t>
            </w:r>
          </w:p>
          <w:p>
            <w:pPr>
              <w:pStyle w:val="73"/>
            </w:pPr>
          </w:p>
        </w:tc>
        <w:tc>
          <w:tcPr>
            <w:tcW w:w="2184" w:type="dxa"/>
            <w:vMerge w:val="restart"/>
            <w:tcBorders>
              <w:top w:val="single" w:color="auto" w:sz="4" w:space="0"/>
              <w:left w:val="single" w:color="auto" w:sz="4" w:space="0"/>
              <w:right w:val="single" w:color="auto" w:sz="4" w:space="0"/>
            </w:tcBorders>
          </w:tcPr>
          <w:p>
            <w:pPr>
              <w:pStyle w:val="73"/>
            </w:pPr>
            <w:r>
              <w:t>Declaration</w:t>
            </w:r>
          </w:p>
        </w:tc>
        <w:tc>
          <w:tcPr>
            <w:tcW w:w="4978" w:type="dxa"/>
            <w:vMerge w:val="restart"/>
            <w:tcBorders>
              <w:top w:val="single" w:color="auto" w:sz="4" w:space="0"/>
              <w:left w:val="single" w:color="auto" w:sz="4" w:space="0"/>
              <w:right w:val="single" w:color="auto" w:sz="4" w:space="0"/>
            </w:tcBorders>
          </w:tcPr>
          <w:p>
            <w:pPr>
              <w:pStyle w:val="73"/>
            </w:pPr>
            <w:r>
              <w:t>Description</w:t>
            </w:r>
          </w:p>
        </w:tc>
        <w:tc>
          <w:tcPr>
            <w:tcW w:w="1918" w:type="dxa"/>
            <w:gridSpan w:val="3"/>
            <w:tcBorders>
              <w:top w:val="single" w:color="auto" w:sz="4" w:space="0"/>
              <w:left w:val="single" w:color="auto" w:sz="4" w:space="0"/>
              <w:bottom w:val="single" w:color="auto" w:sz="4" w:space="0"/>
              <w:right w:val="single" w:color="auto" w:sz="4" w:space="0"/>
            </w:tcBorders>
          </w:tcPr>
          <w:p>
            <w:pPr>
              <w:pStyle w:val="73"/>
              <w:rPr>
                <w:rFonts w:eastAsia="宋体"/>
              </w:rPr>
            </w:pPr>
            <w:r>
              <w:rPr>
                <w:rFonts w:eastAsia="宋体"/>
              </w:rPr>
              <w:t>Applicability</w:t>
            </w:r>
          </w:p>
          <w:p>
            <w:pPr>
              <w:pStyle w:val="73"/>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vMerge w:val="continue"/>
            <w:tcBorders>
              <w:left w:val="single" w:color="auto" w:sz="4" w:space="0"/>
              <w:bottom w:val="single" w:color="auto" w:sz="4" w:space="0"/>
              <w:right w:val="single" w:color="auto" w:sz="4" w:space="0"/>
            </w:tcBorders>
          </w:tcPr>
          <w:p>
            <w:pPr>
              <w:pStyle w:val="73"/>
              <w:rPr>
                <w:rFonts w:cs="Arial"/>
                <w:szCs w:val="18"/>
              </w:rPr>
            </w:pPr>
          </w:p>
        </w:tc>
        <w:tc>
          <w:tcPr>
            <w:tcW w:w="2184" w:type="dxa"/>
            <w:vMerge w:val="continue"/>
            <w:tcBorders>
              <w:left w:val="single" w:color="auto" w:sz="4" w:space="0"/>
              <w:bottom w:val="single" w:color="auto" w:sz="4" w:space="0"/>
              <w:right w:val="single" w:color="auto" w:sz="4" w:space="0"/>
            </w:tcBorders>
          </w:tcPr>
          <w:p>
            <w:pPr>
              <w:pStyle w:val="73"/>
              <w:rPr>
                <w:rFonts w:cs="Arial"/>
                <w:szCs w:val="18"/>
              </w:rPr>
            </w:pPr>
          </w:p>
        </w:tc>
        <w:tc>
          <w:tcPr>
            <w:tcW w:w="4978" w:type="dxa"/>
            <w:vMerge w:val="continue"/>
            <w:tcBorders>
              <w:left w:val="single" w:color="auto" w:sz="4" w:space="0"/>
              <w:bottom w:val="single" w:color="auto" w:sz="4" w:space="0"/>
              <w:right w:val="single" w:color="auto" w:sz="4" w:space="0"/>
            </w:tcBorders>
          </w:tcPr>
          <w:p>
            <w:pPr>
              <w:pStyle w:val="73"/>
              <w:rPr>
                <w:rFonts w:cs="Arial"/>
                <w:szCs w:val="18"/>
              </w:rPr>
            </w:pPr>
          </w:p>
        </w:tc>
        <w:tc>
          <w:tcPr>
            <w:tcW w:w="826" w:type="dxa"/>
            <w:tcBorders>
              <w:top w:val="single" w:color="auto" w:sz="4" w:space="0"/>
              <w:left w:val="single" w:color="auto" w:sz="4" w:space="0"/>
              <w:bottom w:val="single" w:color="auto" w:sz="4" w:space="0"/>
              <w:right w:val="single" w:color="auto" w:sz="4" w:space="0"/>
            </w:tcBorders>
          </w:tcPr>
          <w:p>
            <w:pPr>
              <w:pStyle w:val="73"/>
              <w:rPr>
                <w:i/>
              </w:rPr>
            </w:pPr>
            <w:r>
              <w:rPr>
                <w:i/>
              </w:rPr>
              <w:t>BS type 1-H</w:t>
            </w:r>
          </w:p>
          <w:p>
            <w:pPr>
              <w:pStyle w:val="73"/>
              <w:rPr>
                <w:rFonts w:cs="Arial"/>
                <w:szCs w:val="18"/>
              </w:rPr>
            </w:pPr>
            <w:r>
              <w:t>(Note 2)</w:t>
            </w:r>
          </w:p>
        </w:tc>
        <w:tc>
          <w:tcPr>
            <w:tcW w:w="546" w:type="dxa"/>
            <w:tcBorders>
              <w:top w:val="single" w:color="auto" w:sz="4" w:space="0"/>
              <w:left w:val="single" w:color="auto" w:sz="4" w:space="0"/>
              <w:bottom w:val="single" w:color="auto" w:sz="4" w:space="0"/>
              <w:right w:val="single" w:color="auto" w:sz="4" w:space="0"/>
            </w:tcBorders>
          </w:tcPr>
          <w:p>
            <w:pPr>
              <w:pStyle w:val="73"/>
              <w:rPr>
                <w:rFonts w:cs="Arial"/>
                <w:i/>
                <w:szCs w:val="18"/>
              </w:rPr>
            </w:pPr>
            <w:r>
              <w:rPr>
                <w:i/>
              </w:rPr>
              <w:t>BS type 1-O</w:t>
            </w:r>
          </w:p>
        </w:tc>
        <w:tc>
          <w:tcPr>
            <w:tcW w:w="546" w:type="dxa"/>
            <w:tcBorders>
              <w:top w:val="single" w:color="auto" w:sz="4" w:space="0"/>
              <w:left w:val="single" w:color="auto" w:sz="4" w:space="0"/>
              <w:bottom w:val="single" w:color="auto" w:sz="4" w:space="0"/>
              <w:right w:val="single" w:color="auto" w:sz="4" w:space="0"/>
            </w:tcBorders>
          </w:tcPr>
          <w:p>
            <w:pPr>
              <w:pStyle w:val="73"/>
              <w:rPr>
                <w:rFonts w:cs="Arial"/>
                <w:i/>
                <w:szCs w:val="18"/>
              </w:rPr>
            </w:pPr>
            <w:r>
              <w:rPr>
                <w:i/>
              </w:rPr>
              <w:t>BS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Coordinate system reference point</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Location of coordinated system reference point </w:t>
            </w:r>
            <w:r>
              <w:rPr>
                <w:rFonts w:cs="Arial"/>
                <w:szCs w:val="18"/>
                <w:lang w:eastAsia="zh-CN"/>
              </w:rPr>
              <w:t>in reference to an identifiable physical feature of the BS enclosure.</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Coordinate system orientation</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Orientation of the coordinate system</w:t>
            </w:r>
            <w:r>
              <w:rPr>
                <w:rFonts w:cs="Arial"/>
                <w:szCs w:val="18"/>
                <w:lang w:eastAsia="zh-CN"/>
              </w:rPr>
              <w:t xml:space="preserve"> in reference to an identifiable physical feature of the BS enclosure.</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Beam identifier</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A beam with the narrowest intended BeW</w:t>
            </w:r>
            <w:r>
              <w:rPr>
                <w:rFonts w:cs="Arial"/>
                <w:szCs w:val="18"/>
                <w:vertAlign w:val="subscript"/>
              </w:rPr>
              <w:t>θ</w:t>
            </w:r>
            <w:r>
              <w:rPr>
                <w:rFonts w:cs="Arial"/>
                <w:szCs w:val="18"/>
              </w:rPr>
              <w:t xml:space="preserve"> and narrowest intended BeW</w:t>
            </w:r>
            <w:r>
              <w:rPr>
                <w:rFonts w:cs="Arial"/>
                <w:szCs w:val="18"/>
                <w:vertAlign w:val="subscript"/>
              </w:rPr>
              <w:t>ϕ</w:t>
            </w:r>
            <w:r>
              <w:rPr>
                <w:rFonts w:cs="Arial"/>
                <w:szCs w:val="18"/>
              </w:rPr>
              <w:t xml:space="preserve"> possible when narrowest intended BeW</w:t>
            </w:r>
            <w:r>
              <w:rPr>
                <w:rFonts w:cs="Arial"/>
                <w:szCs w:val="18"/>
                <w:vertAlign w:val="subscript"/>
              </w:rPr>
              <w:t>θ</w:t>
            </w:r>
            <w:r>
              <w:rPr>
                <w:rFonts w:cs="Arial"/>
                <w:szCs w:val="18"/>
              </w:rPr>
              <w:t xml:space="preserve"> is used.</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A beam with the narrowest intended BeW</w:t>
            </w:r>
            <w:r>
              <w:rPr>
                <w:rFonts w:cs="Arial"/>
                <w:szCs w:val="18"/>
                <w:vertAlign w:val="subscript"/>
              </w:rPr>
              <w:t>ϕ</w:t>
            </w:r>
            <w:r>
              <w:rPr>
                <w:rFonts w:cs="Arial"/>
                <w:szCs w:val="18"/>
              </w:rPr>
              <w:t xml:space="preserve"> and narrowest intended BeW</w:t>
            </w:r>
            <w:r>
              <w:rPr>
                <w:rFonts w:cs="Arial"/>
                <w:szCs w:val="18"/>
                <w:vertAlign w:val="subscript"/>
              </w:rPr>
              <w:t>θ</w:t>
            </w:r>
            <w:r>
              <w:rPr>
                <w:rFonts w:cs="Arial"/>
                <w:szCs w:val="18"/>
              </w:rPr>
              <w:t xml:space="preserve"> possible when narrowest intended BeW</w:t>
            </w:r>
            <w:r>
              <w:rPr>
                <w:rFonts w:cs="Arial"/>
                <w:szCs w:val="18"/>
                <w:vertAlign w:val="subscript"/>
              </w:rPr>
              <w:t>ϕ</w:t>
            </w:r>
            <w:r>
              <w:rPr>
                <w:rFonts w:cs="Arial"/>
                <w:szCs w:val="18"/>
              </w:rPr>
              <w:t xml:space="preserve"> is used.</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A beam with the widest intended BeW</w:t>
            </w:r>
            <w:r>
              <w:rPr>
                <w:rFonts w:cs="Arial"/>
                <w:szCs w:val="18"/>
                <w:vertAlign w:val="subscript"/>
              </w:rPr>
              <w:t>θ</w:t>
            </w:r>
            <w:r>
              <w:rPr>
                <w:rFonts w:cs="Arial"/>
                <w:szCs w:val="18"/>
              </w:rPr>
              <w:t xml:space="preserve"> and widest intended BeW</w:t>
            </w:r>
            <w:r>
              <w:rPr>
                <w:rFonts w:cs="Arial"/>
                <w:szCs w:val="18"/>
                <w:vertAlign w:val="subscript"/>
              </w:rPr>
              <w:t>ϕ</w:t>
            </w:r>
            <w:r>
              <w:rPr>
                <w:rFonts w:cs="Arial"/>
                <w:szCs w:val="18"/>
              </w:rPr>
              <w:t xml:space="preserve"> possible when widest intended BeW</w:t>
            </w:r>
            <w:r>
              <w:rPr>
                <w:rFonts w:cs="Arial"/>
                <w:szCs w:val="18"/>
                <w:vertAlign w:val="subscript"/>
              </w:rPr>
              <w:t>θ</w:t>
            </w:r>
            <w:r>
              <w:rPr>
                <w:rFonts w:cs="Arial"/>
                <w:szCs w:val="18"/>
              </w:rPr>
              <w:t xml:space="preserve"> is used.</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A beam with the widest intended BeW</w:t>
            </w:r>
            <w:r>
              <w:rPr>
                <w:rFonts w:cs="Arial"/>
                <w:szCs w:val="18"/>
                <w:vertAlign w:val="subscript"/>
              </w:rPr>
              <w:t>ϕ</w:t>
            </w:r>
            <w:r>
              <w:rPr>
                <w:rFonts w:cs="Arial"/>
                <w:szCs w:val="18"/>
              </w:rPr>
              <w:t xml:space="preserve"> and widest intended BeW</w:t>
            </w:r>
            <w:r>
              <w:rPr>
                <w:rFonts w:cs="Arial"/>
                <w:szCs w:val="18"/>
                <w:vertAlign w:val="subscript"/>
              </w:rPr>
              <w:t>θ</w:t>
            </w:r>
            <w:r>
              <w:rPr>
                <w:rFonts w:cs="Arial"/>
                <w:szCs w:val="18"/>
              </w:rPr>
              <w:t xml:space="preserve"> possible when widest intended BeW</w:t>
            </w:r>
            <w:r>
              <w:rPr>
                <w:rFonts w:cs="Arial"/>
                <w:szCs w:val="18"/>
                <w:vertAlign w:val="subscript"/>
              </w:rPr>
              <w:t>ϕ</w:t>
            </w:r>
            <w:r>
              <w:rPr>
                <w:rFonts w:cs="Arial"/>
                <w:szCs w:val="18"/>
              </w:rPr>
              <w:t xml:space="preserve"> is used.</w:t>
            </w:r>
          </w:p>
          <w:p>
            <w:pPr>
              <w:pStyle w:val="72"/>
              <w:keepNext w:val="0"/>
              <w:keepLines w:val="0"/>
              <w:ind w:left="587" w:hanging="304"/>
              <w:rPr>
                <w:rFonts w:cs="Arial"/>
                <w:szCs w:val="18"/>
              </w:rPr>
            </w:pPr>
            <w:r>
              <w:rPr>
                <w:rFonts w:cs="Arial"/>
                <w:szCs w:val="18"/>
              </w:rPr>
              <w:t>5)</w:t>
            </w:r>
            <w:r>
              <w:rPr>
                <w:rFonts w:cs="Arial"/>
                <w:szCs w:val="18"/>
              </w:rPr>
              <w:tab/>
            </w:r>
            <w:r>
              <w:rPr>
                <w:rFonts w:cs="Arial"/>
                <w:szCs w:val="18"/>
              </w:rPr>
              <w:t>A beam which provides the highest intended EIRP of all possible beams.</w:t>
            </w:r>
          </w:p>
          <w:p>
            <w:pPr>
              <w:pStyle w:val="72"/>
              <w:rPr>
                <w:rFonts w:cs="Arial"/>
                <w:szCs w:val="18"/>
              </w:rPr>
            </w:pPr>
            <w:r>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72"/>
              <w:rPr>
                <w:rFonts w:cs="Arial"/>
                <w:szCs w:val="18"/>
              </w:rPr>
            </w:pPr>
            <w:r>
              <w:rPr>
                <w:rFonts w:cs="Arial"/>
                <w:szCs w:val="18"/>
              </w:rPr>
              <w:t>(Note 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Operating bands</w:t>
            </w:r>
            <w:r>
              <w:rPr>
                <w:rFonts w:cs="Arial"/>
                <w:szCs w:val="18"/>
              </w:rPr>
              <w:t xml:space="preserve"> and frequency ranges</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List of NR </w:t>
            </w:r>
            <w:r>
              <w:rPr>
                <w:rFonts w:cs="Arial"/>
                <w:i/>
                <w:szCs w:val="18"/>
              </w:rPr>
              <w:t>operating band(s)</w:t>
            </w:r>
            <w:r>
              <w:rPr>
                <w:rFonts w:cs="Arial"/>
                <w:szCs w:val="18"/>
              </w:rPr>
              <w:t xml:space="preserve"> supported by the BS and if applicable, frequency range(s) within the </w:t>
            </w:r>
            <w:r>
              <w:rPr>
                <w:rFonts w:cs="Arial"/>
                <w:i/>
                <w:szCs w:val="18"/>
              </w:rPr>
              <w:t>operating band(s)</w:t>
            </w:r>
            <w:r>
              <w:rPr>
                <w:rFonts w:cs="Arial"/>
                <w:szCs w:val="18"/>
              </w:rPr>
              <w:t xml:space="preserve"> that the BS can operate in. </w:t>
            </w:r>
          </w:p>
          <w:p>
            <w:pPr>
              <w:pStyle w:val="31"/>
              <w:rPr>
                <w:rFonts w:ascii="Arial" w:hAnsi="Arial" w:cs="Arial"/>
                <w:b w:val="0"/>
                <w:sz w:val="18"/>
                <w:szCs w:val="18"/>
              </w:rPr>
            </w:pPr>
            <w:r>
              <w:rPr>
                <w:rFonts w:ascii="Arial" w:hAnsi="Arial" w:cs="Arial"/>
                <w:b w:val="0"/>
                <w:bCs w:val="0"/>
                <w:sz w:val="18"/>
                <w:szCs w:val="18"/>
              </w:rPr>
              <w:t xml:space="preserve">Supported bands </w:t>
            </w:r>
            <w:r>
              <w:rPr>
                <w:rFonts w:ascii="Arial" w:hAnsi="Arial" w:cs="Arial"/>
                <w:b w:val="0"/>
                <w:sz w:val="18"/>
                <w:szCs w:val="18"/>
              </w:rPr>
              <w:t>declared for every beam (D.3).</w:t>
            </w:r>
          </w:p>
          <w:p>
            <w:pPr>
              <w:pStyle w:val="31"/>
              <w:rPr>
                <w:rFonts w:ascii="Arial" w:hAnsi="Arial" w:cs="Arial"/>
                <w:b w:val="0"/>
                <w:sz w:val="18"/>
                <w:szCs w:val="18"/>
                <w:lang w:val="en-GB"/>
              </w:rPr>
            </w:pPr>
          </w:p>
          <w:p>
            <w:pPr>
              <w:pStyle w:val="87"/>
              <w:rPr>
                <w:rFonts w:cs="Arial"/>
                <w:szCs w:val="18"/>
              </w:rPr>
            </w:pPr>
            <w:r>
              <w:t>(Note 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BS requirements set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Declaration of </w:t>
            </w:r>
            <w:r>
              <w:rPr>
                <w:lang w:eastAsia="sv-SE"/>
              </w:rPr>
              <w:t xml:space="preserve">one of the NR </w:t>
            </w:r>
            <w:r>
              <w:t xml:space="preserve">base station </w:t>
            </w:r>
            <w:r>
              <w:rPr>
                <w:i/>
                <w:lang w:eastAsia="sv-SE"/>
              </w:rPr>
              <w:t>requirement’s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en-GB"/>
              </w:rPr>
              <w:t>BS class</w:t>
            </w:r>
          </w:p>
        </w:tc>
        <w:tc>
          <w:tcPr>
            <w:tcW w:w="4978" w:type="dxa"/>
            <w:tcBorders>
              <w:top w:val="single" w:color="auto" w:sz="4" w:space="0"/>
              <w:left w:val="single" w:color="auto" w:sz="4" w:space="0"/>
              <w:bottom w:val="single" w:color="auto" w:sz="4" w:space="0"/>
              <w:right w:val="single" w:color="auto" w:sz="4" w:space="0"/>
            </w:tcBorders>
          </w:tcPr>
          <w:p>
            <w:pPr>
              <w:pStyle w:val="72"/>
            </w:pPr>
            <w:r>
              <w:rPr>
                <w:lang w:eastAsia="en-GB"/>
              </w:rPr>
              <w:t>Declared as Wide Area BS, Medium Range BS, or Local Area BS.</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BS channel band width and SCS support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BS supported SCS and channel bandwidth per supported SCS. Declared for each beam (D.3) and each </w:t>
            </w:r>
            <w:r>
              <w:rPr>
                <w:i/>
              </w:rPr>
              <w:t>operating band</w:t>
            </w:r>
            <w:r>
              <w:t xml:space="preserve"> (D.4).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 xml:space="preserve">OTA peak directions set </w:t>
            </w:r>
            <w:r>
              <w:rPr>
                <w:rFonts w:cs="Arial"/>
                <w:szCs w:val="18"/>
              </w:rPr>
              <w:t>reference beam direction pair</w:t>
            </w:r>
          </w:p>
        </w:tc>
        <w:tc>
          <w:tcPr>
            <w:tcW w:w="4978" w:type="dxa"/>
            <w:tcBorders>
              <w:top w:val="single" w:color="auto" w:sz="4" w:space="0"/>
              <w:left w:val="single" w:color="auto" w:sz="4" w:space="0"/>
              <w:bottom w:val="single" w:color="auto" w:sz="4" w:space="0"/>
              <w:right w:val="single" w:color="auto" w:sz="4" w:space="0"/>
            </w:tcBorders>
          </w:tcPr>
          <w:p>
            <w:pPr>
              <w:pStyle w:val="72"/>
            </w:pPr>
            <w:r>
              <w:t>The beam direction pair, describing the reference beam peak direction and the reference beam centre direction. 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cs="Arial"/>
                <w:i/>
                <w:szCs w:val="18"/>
                <w:lang w:eastAsia="zh-CN"/>
              </w:rPr>
              <w:t>OTA peak directions set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w:t>
            </w:r>
            <w:r>
              <w:rPr>
                <w:lang w:eastAsia="zh-CN"/>
              </w:rPr>
              <w:t xml:space="preserve">OTA peak </w:t>
            </w:r>
            <w:r>
              <w:t>directions set for each beam. 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i/>
                <w:szCs w:val="18"/>
              </w:rPr>
              <w:t>OTA peak directions set</w:t>
            </w:r>
            <w:r>
              <w:rPr>
                <w:rFonts w:cs="Arial"/>
                <w:szCs w:val="18"/>
              </w:rPr>
              <w:t xml:space="preserve"> maximum steering direction(s)</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 xml:space="preserve">The </w:t>
            </w:r>
            <w:r>
              <w:rPr>
                <w:rFonts w:cs="Arial"/>
                <w:i/>
                <w:szCs w:val="18"/>
              </w:rPr>
              <w:t>beam direction pair(s)</w:t>
            </w:r>
            <w:r>
              <w:rPr>
                <w:rFonts w:cs="Arial"/>
                <w:szCs w:val="18"/>
              </w:rPr>
              <w:t xml:space="preserve"> corresponding to the following points:</w:t>
            </w:r>
          </w:p>
          <w:p>
            <w:pPr>
              <w:pStyle w:val="72"/>
              <w:keepNext w:val="0"/>
              <w:keepLines w:val="0"/>
              <w:ind w:left="587" w:hanging="304"/>
              <w:rPr>
                <w:rFonts w:cs="Arial"/>
                <w:i/>
                <w:szCs w:val="18"/>
              </w:rPr>
            </w:pPr>
            <w:r>
              <w:rPr>
                <w:rFonts w:cs="Arial"/>
                <w:szCs w:val="18"/>
              </w:rPr>
              <w:t>1)</w:t>
            </w:r>
            <w:r>
              <w:rPr>
                <w:rFonts w:cs="Arial"/>
                <w:szCs w:val="18"/>
              </w:rPr>
              <w:tab/>
            </w:r>
            <w:r>
              <w:rPr>
                <w:rFonts w:cs="Arial"/>
                <w:szCs w:val="18"/>
              </w:rPr>
              <w:t xml:space="preserve">The </w:t>
            </w:r>
            <w:r>
              <w:rPr>
                <w:rFonts w:cs="Arial"/>
                <w:i/>
                <w:szCs w:val="18"/>
                <w:lang w:eastAsia="zh-CN"/>
              </w:rPr>
              <w:t>beam peak direction</w:t>
            </w:r>
            <w:r>
              <w:rPr>
                <w:rFonts w:cs="Arial"/>
                <w:szCs w:val="18"/>
                <w:lang w:eastAsia="zh-CN"/>
              </w:rPr>
              <w:t xml:space="preserve"> corresponding to the </w:t>
            </w:r>
            <w:r>
              <w:rPr>
                <w:rFonts w:cs="Arial"/>
                <w:szCs w:val="18"/>
              </w:rPr>
              <w:t xml:space="preserve">maximum steering from the </w:t>
            </w:r>
            <w:r>
              <w:rPr>
                <w:rFonts w:cs="Arial"/>
                <w:i/>
                <w:szCs w:val="18"/>
              </w:rPr>
              <w:t>reference beam centre direction</w:t>
            </w:r>
            <w:r>
              <w:rPr>
                <w:rFonts w:cs="Arial"/>
                <w:szCs w:val="18"/>
              </w:rPr>
              <w:t xml:space="preserve"> in the positive </w:t>
            </w:r>
            <w:r>
              <w:rPr>
                <w:rFonts w:cs="Arial"/>
                <w:i/>
                <w:szCs w:val="18"/>
              </w:rPr>
              <w:t>Φ</w:t>
            </w:r>
            <w:r>
              <w:rPr>
                <w:rFonts w:cs="Arial"/>
                <w:szCs w:val="18"/>
              </w:rPr>
              <w:t xml:space="preserve"> direction, while the </w:t>
            </w:r>
            <w:r>
              <w:rPr>
                <w:rFonts w:cs="Arial"/>
                <w:i/>
                <w:szCs w:val="18"/>
              </w:rPr>
              <w:t>θ value being the closest possible to the reference beam centre direction.</w:t>
            </w:r>
          </w:p>
          <w:p>
            <w:pPr>
              <w:pStyle w:val="72"/>
              <w:keepNext w:val="0"/>
              <w:keepLines w:val="0"/>
              <w:ind w:left="587" w:hanging="304"/>
              <w:rPr>
                <w:rFonts w:cs="Arial"/>
                <w:i/>
                <w:szCs w:val="18"/>
              </w:rPr>
            </w:pPr>
            <w:r>
              <w:rPr>
                <w:rFonts w:cs="Arial"/>
                <w:szCs w:val="18"/>
              </w:rPr>
              <w:t>2)</w:t>
            </w:r>
            <w:r>
              <w:rPr>
                <w:rFonts w:cs="Arial"/>
                <w:szCs w:val="18"/>
              </w:rPr>
              <w:tab/>
            </w:r>
            <w:r>
              <w:rPr>
                <w:rFonts w:cs="Arial"/>
                <w:szCs w:val="18"/>
              </w:rPr>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negative </w:t>
            </w:r>
            <w:r>
              <w:rPr>
                <w:rFonts w:cs="Arial"/>
                <w:i/>
                <w:szCs w:val="18"/>
              </w:rPr>
              <w:t>Φ</w:t>
            </w:r>
            <w:r>
              <w:rPr>
                <w:rFonts w:cs="Arial"/>
                <w:szCs w:val="18"/>
              </w:rPr>
              <w:t xml:space="preserve"> direction, while the </w:t>
            </w:r>
            <w:r>
              <w:rPr>
                <w:rFonts w:cs="Arial"/>
                <w:i/>
                <w:szCs w:val="18"/>
              </w:rPr>
              <w:t xml:space="preserve">θ value being the closest possible to the </w:t>
            </w:r>
            <w:r>
              <w:rPr>
                <w:rFonts w:cs="Arial"/>
                <w:szCs w:val="18"/>
              </w:rPr>
              <w:t>reference beam centre direction</w:t>
            </w:r>
            <w:r>
              <w:rPr>
                <w:rFonts w:cs="Arial"/>
                <w:i/>
                <w:szCs w:val="18"/>
              </w:rPr>
              <w:t>.</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positive </w:t>
            </w:r>
            <w:r>
              <w:rPr>
                <w:rFonts w:cs="Arial"/>
                <w:i/>
                <w:szCs w:val="18"/>
              </w:rPr>
              <w:t>θ</w:t>
            </w:r>
            <w:r>
              <w:rPr>
                <w:rFonts w:cs="Arial"/>
                <w:szCs w:val="18"/>
              </w:rPr>
              <w:t xml:space="preserve"> direction, while the</w:t>
            </w:r>
            <w:r>
              <w:rPr>
                <w:rFonts w:cs="Arial"/>
                <w:i/>
                <w:szCs w:val="18"/>
              </w:rPr>
              <w:t xml:space="preserve"> Φ value being the closest possible to the</w:t>
            </w:r>
            <w:r>
              <w:rPr>
                <w:rFonts w:cs="Arial"/>
                <w:szCs w:val="18"/>
              </w:rPr>
              <w:t xml:space="preserve"> reference beam centre direction.</w:t>
            </w:r>
          </w:p>
          <w:p>
            <w:pPr>
              <w:pStyle w:val="72"/>
              <w:keepNext w:val="0"/>
              <w:keepLines w:val="0"/>
              <w:ind w:left="587" w:hanging="304"/>
              <w:rPr>
                <w:rFonts w:cs="Arial"/>
                <w:i/>
                <w:szCs w:val="18"/>
              </w:rPr>
            </w:pPr>
            <w:r>
              <w:rPr>
                <w:rFonts w:cs="Arial"/>
                <w:szCs w:val="18"/>
                <w:lang w:eastAsia="zh-CN"/>
              </w:rPr>
              <w:t>4)</w:t>
            </w:r>
            <w:r>
              <w:rPr>
                <w:rFonts w:cs="Arial"/>
                <w:szCs w:val="18"/>
                <w:lang w:eastAsia="zh-CN"/>
              </w:rPr>
              <w:tab/>
            </w:r>
            <w:r>
              <w:rPr>
                <w:rFonts w:cs="Arial"/>
                <w:szCs w:val="18"/>
                <w:lang w:eastAsia="zh-CN"/>
              </w:rPr>
              <w:t xml:space="preserve">The beam peak direction corresponding to the </w:t>
            </w:r>
            <w:r>
              <w:rPr>
                <w:rFonts w:cs="Arial"/>
                <w:szCs w:val="18"/>
              </w:rPr>
              <w:t xml:space="preserve">maximum steering from the reference beam centre direction in the negative </w:t>
            </w:r>
            <w:r>
              <w:rPr>
                <w:rFonts w:cs="Arial"/>
                <w:i/>
                <w:szCs w:val="18"/>
              </w:rPr>
              <w:t>θ</w:t>
            </w:r>
            <w:r>
              <w:rPr>
                <w:rFonts w:cs="Arial"/>
                <w:szCs w:val="18"/>
              </w:rPr>
              <w:t xml:space="preserve"> direction, while the </w:t>
            </w:r>
            <w:r>
              <w:rPr>
                <w:rFonts w:cs="Arial"/>
                <w:i/>
                <w:szCs w:val="18"/>
              </w:rPr>
              <w:t xml:space="preserve">Φ value being the closest possible to the </w:t>
            </w:r>
            <w:r>
              <w:rPr>
                <w:rFonts w:cs="Arial"/>
                <w:szCs w:val="18"/>
              </w:rPr>
              <w:t>reference beam centre direction</w:t>
            </w:r>
            <w:r>
              <w:rPr>
                <w:rFonts w:cs="Arial"/>
                <w:i/>
                <w:szCs w:val="18"/>
              </w:rPr>
              <w:t>.</w:t>
            </w:r>
          </w:p>
          <w:p>
            <w:pPr>
              <w:pStyle w:val="72"/>
              <w:keepNext w:val="0"/>
              <w:keepLines w:val="0"/>
              <w:rPr>
                <w:rFonts w:cs="Arial"/>
                <w:szCs w:val="18"/>
              </w:rPr>
            </w:pPr>
            <w:r>
              <w:rPr>
                <w:rFonts w:cs="Arial"/>
                <w:szCs w:val="18"/>
              </w:rPr>
              <w:t xml:space="preserve">The maximum steering direction(s) may coincide with </w:t>
            </w:r>
            <w:r>
              <w:rPr>
                <w:rFonts w:cs="Arial"/>
                <w:i/>
                <w:szCs w:val="18"/>
              </w:rPr>
              <w:t>the reference beam centre direction</w:t>
            </w:r>
            <w:r>
              <w:rPr>
                <w:rFonts w:cs="Arial"/>
                <w:szCs w:val="18"/>
              </w:rPr>
              <w:t>.</w:t>
            </w:r>
          </w:p>
          <w:p>
            <w:pPr>
              <w:pStyle w:val="17"/>
              <w:rPr>
                <w:rFonts w:cs="Arial"/>
                <w:szCs w:val="18"/>
              </w:rPr>
            </w:pPr>
            <w:r>
              <w:rPr>
                <w:rFonts w:ascii="Arial" w:hAnsi="Arial" w:cs="Arial"/>
                <w:sz w:val="18"/>
                <w:szCs w:val="18"/>
              </w:rPr>
              <w:t>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Rated beam EIRP</w:t>
            </w:r>
          </w:p>
        </w:tc>
        <w:tc>
          <w:tcPr>
            <w:tcW w:w="4978" w:type="dxa"/>
            <w:tcBorders>
              <w:top w:val="single" w:color="auto" w:sz="4" w:space="0"/>
              <w:left w:val="single" w:color="auto" w:sz="4" w:space="0"/>
              <w:bottom w:val="single" w:color="auto" w:sz="4" w:space="0"/>
              <w:right w:val="single" w:color="auto" w:sz="4" w:space="0"/>
            </w:tcBorders>
          </w:tcPr>
          <w:p>
            <w:pPr>
              <w:pStyle w:val="72"/>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pPr>
              <w:pStyle w:val="87"/>
            </w:pPr>
            <w:r>
              <w:t>(Note 12, 14)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Beamwidth</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Equivalent b</w:t>
            </w:r>
            <w:r>
              <w:rPr>
                <w:rFonts w:cs="Arial"/>
                <w:szCs w:val="18"/>
                <w:lang w:eastAsia="zh-CN"/>
              </w:rPr>
              <w:t>eams</w:t>
            </w:r>
          </w:p>
        </w:tc>
        <w:tc>
          <w:tcPr>
            <w:tcW w:w="4978" w:type="dxa"/>
            <w:tcBorders>
              <w:top w:val="single" w:color="auto" w:sz="4" w:space="0"/>
              <w:left w:val="single" w:color="auto" w:sz="4" w:space="0"/>
              <w:bottom w:val="single" w:color="auto" w:sz="4" w:space="0"/>
              <w:right w:val="single" w:color="auto" w:sz="4" w:space="0"/>
            </w:tcBorders>
          </w:tcPr>
          <w:p>
            <w:pPr>
              <w:pStyle w:val="72"/>
            </w:pPr>
            <w:r>
              <w:t>List of beams which are declared to be equivalent.</w:t>
            </w:r>
          </w:p>
          <w:p>
            <w:pPr>
              <w:pStyle w:val="72"/>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Parallel beams</w:t>
            </w:r>
          </w:p>
        </w:tc>
        <w:tc>
          <w:tcPr>
            <w:tcW w:w="4978" w:type="dxa"/>
            <w:tcBorders>
              <w:top w:val="single" w:color="auto" w:sz="4" w:space="0"/>
              <w:left w:val="single" w:color="auto" w:sz="4" w:space="0"/>
              <w:bottom w:val="single" w:color="auto" w:sz="4" w:space="0"/>
              <w:right w:val="single" w:color="auto" w:sz="4" w:space="0"/>
            </w:tcBorders>
          </w:tcPr>
          <w:p>
            <w:pPr>
              <w:pStyle w:val="72"/>
            </w:pPr>
            <w:r>
              <w:t>List of beams which have been declared equivalent (D.13) and can be generated in parallel using independent RF power resources.</w:t>
            </w:r>
          </w:p>
          <w:p>
            <w:pPr>
              <w:pStyle w:val="72"/>
            </w:pPr>
            <w:r>
              <w:rPr>
                <w:lang w:eastAsia="zh-CN"/>
              </w:rPr>
              <w:t>Independent power resources mean that the beams are transmitted from mutually exclusive transmitter units.</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en-GB"/>
              </w:rPr>
              <w:t>Number of carriers at maximum TRP</w:t>
            </w:r>
          </w:p>
        </w:tc>
        <w:tc>
          <w:tcPr>
            <w:tcW w:w="4978" w:type="dxa"/>
            <w:tcBorders>
              <w:top w:val="single" w:color="auto" w:sz="4" w:space="0"/>
              <w:left w:val="single" w:color="auto" w:sz="4" w:space="0"/>
              <w:bottom w:val="single" w:color="auto" w:sz="4" w:space="0"/>
              <w:right w:val="single" w:color="auto" w:sz="4" w:space="0"/>
            </w:tcBorders>
          </w:tcPr>
          <w:p>
            <w:pPr>
              <w:pStyle w:val="72"/>
            </w:pPr>
            <w:r>
              <w:rPr>
                <w:lang w:eastAsia="en-GB"/>
              </w:rPr>
              <w:t>The number of carriers per operating band the BS is capable of generating at maximum TRP declared for every beam</w:t>
            </w:r>
            <w:r>
              <w:t xml:space="preserve"> (D.3)</w:t>
            </w:r>
            <w:r>
              <w:rPr>
                <w:lang w:eastAsia="en-GB"/>
              </w:rPr>
              <w: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Operating bands with multi-band dependencies</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 xml:space="preserve">Maximum radiated </w:t>
            </w:r>
            <w:r>
              <w:rPr>
                <w:rFonts w:cs="Arial"/>
                <w:i/>
                <w:szCs w:val="18"/>
                <w:lang w:eastAsia="en-GB"/>
              </w:rPr>
              <w:t>Base Station RF Bandwidth</w:t>
            </w:r>
          </w:p>
        </w:tc>
        <w:tc>
          <w:tcPr>
            <w:tcW w:w="4978" w:type="dxa"/>
            <w:tcBorders>
              <w:top w:val="single" w:color="auto" w:sz="4" w:space="0"/>
              <w:left w:val="single" w:color="auto" w:sz="4" w:space="0"/>
              <w:bottom w:val="single" w:color="auto" w:sz="4" w:space="0"/>
              <w:right w:val="single" w:color="auto" w:sz="4" w:space="0"/>
            </w:tcBorders>
          </w:tcPr>
          <w:p>
            <w:pPr>
              <w:pStyle w:val="72"/>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pPr>
              <w:pStyle w:val="72"/>
              <w:rPr>
                <w:lang w:eastAsia="en-GB"/>
              </w:rPr>
            </w:pPr>
            <w:r>
              <w:t>(Note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 xml:space="preserve">Maximum </w:t>
            </w:r>
            <w:r>
              <w:rPr>
                <w:rFonts w:cs="Arial"/>
                <w:i/>
                <w:szCs w:val="18"/>
                <w:lang w:eastAsia="en-GB"/>
              </w:rPr>
              <w:t>Radio Bandwidth</w:t>
            </w:r>
            <w:r>
              <w:rPr>
                <w:rFonts w:cs="Arial"/>
                <w:szCs w:val="18"/>
                <w:lang w:eastAsia="en-GB"/>
              </w:rPr>
              <w:t xml:space="preserve"> of the </w:t>
            </w:r>
            <w:r>
              <w:rPr>
                <w:rFonts w:cs="Arial"/>
                <w:i/>
                <w:szCs w:val="18"/>
                <w:lang w:eastAsia="en-GB"/>
              </w:rPr>
              <w:t>operating band</w:t>
            </w:r>
            <w:r>
              <w:rPr>
                <w:rFonts w:cs="Arial"/>
                <w:szCs w:val="18"/>
                <w:lang w:eastAsia="en-GB"/>
              </w:rPr>
              <w:t xml:space="preserve"> with multi-band dependencies</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pPr>
              <w:pStyle w:val="72"/>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lang w:eastAsia="zh-CN"/>
              </w:rPr>
              <w:t>Total RF bandwidth (</w:t>
            </w:r>
            <w:r>
              <w:t>BW</w:t>
            </w:r>
            <w:r>
              <w:rPr>
                <w:vertAlign w:val="subscript"/>
              </w:rPr>
              <w:t>tot</w:t>
            </w:r>
            <w:r>
              <w:rPr>
                <w:lang w:eastAsia="zh-CN"/>
              </w:rPr>
              <w:t>)</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CA-only operation</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 xml:space="preserve">Declared </w:t>
            </w:r>
            <w:r>
              <w:rPr>
                <w:rFonts w:cs="Arial"/>
                <w:szCs w:val="18"/>
              </w:rP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Total number of supported carriers for operating bands with multi-band dependencies</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Total number of supported carriers for operating bands declared to have multi-band dependencies (D.16).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val="fr-FR" w:eastAsia="en-GB"/>
              </w:rPr>
              <w:t>Contiguous or non-contiguous spectrum operation support</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Ability of BS to support contiguous or non-contiguous (or both) frequency distribution of carriers when operating multi-carrier in an operating band.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rPr>
              <w:t>OSDD identifier</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t>A unique identifier for the OSDD.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OSDD operating band support</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Operating band supported by the OSDD, declared for every OSDD (D.23).</w:t>
            </w:r>
          </w:p>
          <w:p>
            <w:pPr>
              <w:pStyle w:val="87"/>
            </w:pPr>
            <w:r>
              <w:t>(Note 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sensitivity supported BS channel bandwidth and SCS</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w:t>
            </w:r>
            <w:r>
              <w:rPr>
                <w:i/>
              </w:rPr>
              <w:t xml:space="preserve">BS </w:t>
            </w:r>
            <w:r>
              <w:t>supported SCS and channel bandwidth per supported SCS by each OSDD.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Redirection of receiver target support</w:t>
            </w:r>
          </w:p>
        </w:tc>
        <w:tc>
          <w:tcPr>
            <w:tcW w:w="4978" w:type="dxa"/>
            <w:tcBorders>
              <w:top w:val="single" w:color="auto" w:sz="4" w:space="0"/>
              <w:left w:val="single" w:color="auto" w:sz="4" w:space="0"/>
              <w:bottom w:val="single" w:color="auto" w:sz="4" w:space="0"/>
              <w:right w:val="single" w:color="auto" w:sz="4" w:space="0"/>
            </w:tcBorders>
          </w:tcPr>
          <w:p>
            <w:pPr>
              <w:pStyle w:val="31"/>
              <w:rPr>
                <w:rFonts w:ascii="Arial" w:hAnsi="Arial" w:cs="Arial"/>
                <w:b w:val="0"/>
                <w:sz w:val="18"/>
                <w:szCs w:val="18"/>
                <w:lang w:val="en-GB"/>
              </w:rPr>
            </w:pPr>
            <w:r>
              <w:rPr>
                <w:rFonts w:ascii="Arial" w:hAnsi="Arial" w:cs="Arial"/>
                <w:b w:val="0"/>
                <w:sz w:val="18"/>
                <w:szCs w:val="18"/>
                <w:lang w:val="en-GB"/>
              </w:rPr>
              <w:t>Ability to redirect the receiver target related to the OSDD.</w:t>
            </w:r>
          </w:p>
          <w:p>
            <w:pPr>
              <w:pStyle w:val="94"/>
              <w:rPr>
                <w:rFonts w:ascii="Arial" w:hAnsi="Arial" w:cs="Arial"/>
                <w:sz w:val="18"/>
                <w:szCs w:val="18"/>
              </w:rPr>
            </w:pP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Minimum EIS for FR1 (</w:t>
            </w:r>
            <w:r>
              <w:rPr>
                <w:lang w:eastAsia="zh-CN"/>
              </w:rPr>
              <w:t>EIS</w:t>
            </w:r>
            <w:r>
              <w:rPr>
                <w:vertAlign w:val="subscript"/>
                <w:lang w:eastAsia="zh-CN"/>
              </w:rPr>
              <w:t>minSENS</w:t>
            </w:r>
            <w:r>
              <w:rPr>
                <w:rFonts w:cs="Arial"/>
                <w:szCs w:val="18"/>
              </w:rPr>
              <w:t>)</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 xml:space="preserve">The minimum </w:t>
            </w:r>
            <w:r>
              <w:rPr>
                <w:lang w:eastAsia="zh-CN"/>
              </w:rPr>
              <w:t>EIS</w:t>
            </w:r>
            <w:r>
              <w:rPr>
                <w:vertAlign w:val="subscript"/>
                <w:lang w:eastAsia="zh-CN"/>
              </w:rPr>
              <w:t>minSENS</w:t>
            </w:r>
            <w:r>
              <w:rPr>
                <w:rFonts w:cs="Arial"/>
                <w:szCs w:val="18"/>
              </w:rPr>
              <w:t xml:space="preserve"> requirement (i.e. maximum allowable EIS value) applicable to all sensitivity RoAoA per OSDD.</w:t>
            </w:r>
          </w:p>
          <w:p>
            <w:pPr>
              <w:pStyle w:val="72"/>
              <w:keepNext w:val="0"/>
              <w:keepLines w:val="0"/>
              <w:rPr>
                <w:rFonts w:cs="Arial"/>
                <w:szCs w:val="18"/>
              </w:rPr>
            </w:pPr>
            <w:r>
              <w:rPr>
                <w:rFonts w:cs="Arial"/>
                <w:szCs w:val="18"/>
              </w:rPr>
              <w:t>Declared per NR supported channel BW for the OSDD (D.30).</w:t>
            </w:r>
          </w:p>
          <w:p>
            <w:pPr>
              <w:pStyle w:val="72"/>
              <w:keepNext w:val="0"/>
              <w:keepLines w:val="0"/>
              <w:rPr>
                <w:rFonts w:cs="Arial"/>
                <w:szCs w:val="18"/>
              </w:rPr>
            </w:pPr>
            <w:r>
              <w:rPr>
                <w:rFonts w:cs="Arial"/>
                <w:szCs w:val="18"/>
              </w:rPr>
              <w:t xml:space="preserve">The lowest EIS value for all the declared OSDD’s is called minSENS, while its related range of angles of arrival is called </w:t>
            </w:r>
            <w:r>
              <w:rPr>
                <w:rFonts w:cs="Arial"/>
                <w:i/>
                <w:szCs w:val="18"/>
              </w:rPr>
              <w:t>minSENS RoAoA</w:t>
            </w:r>
            <w:r>
              <w:rPr>
                <w:rFonts w:cs="Arial"/>
                <w:szCs w:val="18"/>
              </w:rPr>
              <w:t>.</w:t>
            </w:r>
          </w:p>
          <w:p>
            <w:pPr>
              <w:pStyle w:val="87"/>
            </w:pPr>
            <w:r>
              <w:t>(Note 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EIS REFSENS for FR2 (</w:t>
            </w:r>
            <w:r>
              <w:t>EIS</w:t>
            </w:r>
            <w:r>
              <w:rPr>
                <w:vertAlign w:val="subscript"/>
              </w:rPr>
              <w:t>REFSENS_50M</w:t>
            </w:r>
            <w:r>
              <w:rPr>
                <w:rFonts w:cs="Arial"/>
                <w:szCs w:val="18"/>
              </w:rPr>
              <w:t>)</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Receiver target reference direction Sensitivity Range of Angle of Arrival</w:t>
            </w:r>
          </w:p>
        </w:tc>
        <w:tc>
          <w:tcPr>
            <w:tcW w:w="4978" w:type="dxa"/>
            <w:tcBorders>
              <w:top w:val="single" w:color="auto" w:sz="4" w:space="0"/>
              <w:left w:val="single" w:color="auto" w:sz="4" w:space="0"/>
              <w:bottom w:val="single" w:color="auto" w:sz="4" w:space="0"/>
              <w:right w:val="single" w:color="auto" w:sz="4" w:space="0"/>
            </w:tcBorders>
          </w:tcPr>
          <w:p>
            <w:pPr>
              <w:pStyle w:val="72"/>
            </w:pPr>
            <w:r>
              <w:t>The sensitivity RoAoA associated with the receiver target reference direction (D.31) for each OSDD.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Receiver target redirection range</w:t>
            </w:r>
          </w:p>
        </w:tc>
        <w:tc>
          <w:tcPr>
            <w:tcW w:w="4978" w:type="dxa"/>
            <w:tcBorders>
              <w:top w:val="single" w:color="auto" w:sz="4" w:space="0"/>
              <w:left w:val="single" w:color="auto" w:sz="4" w:space="0"/>
              <w:bottom w:val="single" w:color="auto" w:sz="4" w:space="0"/>
              <w:right w:val="single" w:color="auto" w:sz="4" w:space="0"/>
            </w:tcBorders>
          </w:tcPr>
          <w:p>
            <w:pPr>
              <w:pStyle w:val="31"/>
              <w:rPr>
                <w:rFonts w:ascii="Arial" w:hAnsi="Arial" w:cs="Arial"/>
                <w:b w:val="0"/>
                <w:sz w:val="18"/>
                <w:szCs w:val="18"/>
                <w:lang w:val="en-GB"/>
              </w:rPr>
            </w:pPr>
            <w:r>
              <w:rPr>
                <w:rFonts w:ascii="Arial" w:hAnsi="Arial" w:cs="Arial"/>
                <w:b w:val="0"/>
                <w:sz w:val="18"/>
                <w:szCs w:val="18"/>
                <w:lang w:val="en-GB"/>
              </w:rPr>
              <w:t>For each OSDD the associated union of all the sensitivity RoAoA achievable through redirecting the receiver target related to the OSDD.</w:t>
            </w:r>
          </w:p>
          <w:p>
            <w:pPr>
              <w:pStyle w:val="87"/>
            </w:pPr>
            <w:r>
              <w:t>(Note 8)</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Receiver target reference direction</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bCs/>
                <w:szCs w:val="18"/>
                <w:lang w:eastAsia="zh-CN"/>
              </w:rPr>
            </w:pPr>
            <w:r>
              <w:rPr>
                <w:rFonts w:cs="Arial"/>
                <w:szCs w:val="18"/>
              </w:rPr>
              <w:t xml:space="preserve">For each OSDD an associated </w:t>
            </w:r>
            <w:r>
              <w:rPr>
                <w:rFonts w:cs="Arial"/>
                <w:bCs/>
                <w:szCs w:val="18"/>
                <w:lang w:eastAsia="zh-CN"/>
              </w:rPr>
              <w:t>direction inside the receiver target redirection range (D.30).</w:t>
            </w:r>
          </w:p>
          <w:p>
            <w:pPr>
              <w:pStyle w:val="87"/>
            </w:pPr>
            <w:r>
              <w:rPr>
                <w:lang w:eastAsia="zh-CN"/>
              </w:rPr>
              <w:t>(Note 9)</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Conformance test directions sensitivity RoAoA</w:t>
            </w:r>
          </w:p>
        </w:tc>
        <w:tc>
          <w:tcPr>
            <w:tcW w:w="4978" w:type="dxa"/>
            <w:tcBorders>
              <w:top w:val="single" w:color="auto" w:sz="4" w:space="0"/>
              <w:left w:val="single" w:color="auto" w:sz="4" w:space="0"/>
              <w:bottom w:val="single" w:color="auto" w:sz="4" w:space="0"/>
              <w:right w:val="single" w:color="auto" w:sz="4" w:space="0"/>
            </w:tcBorders>
          </w:tcPr>
          <w:p>
            <w:pPr>
              <w:pStyle w:val="72"/>
            </w:pPr>
            <w:r>
              <w:t>For each OSDD that includes a receiver target redirection range, four sensitivity RoAoA comprising the conformance test directions (D.33).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Conformance test directions</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For each OSDD four conformance test directions.</w:t>
            </w:r>
          </w:p>
          <w:p>
            <w:pPr>
              <w:pStyle w:val="72"/>
              <w:keepNext w:val="0"/>
              <w:keepLines w:val="0"/>
              <w:rPr>
                <w:rFonts w:cs="Arial"/>
                <w:szCs w:val="18"/>
              </w:rPr>
            </w:pPr>
            <w:r>
              <w:rPr>
                <w:rFonts w:cs="Arial"/>
                <w:szCs w:val="18"/>
              </w:rPr>
              <w:t>If the OSDD includes a receiver target redirection range the following four directions shall be declared:</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The direction determined by the maximum φ value achievable inside the receiver target redirection range, while θ value being the closest possible to the receiver target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The direction determined by the minimum φ value achievable inside the receiver target redirection range, while θ value being the closest possible to the receiver target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The direction determined by the maximum θ value achievable inside the receiver target redirection range, while φ value being the closest possible to the receiver target reference direction.</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The direction determined by the minimum θ value achievable inside the receiver target redirection range, while φ value being the closest possible to the receiver target reference direction.</w:t>
            </w:r>
          </w:p>
          <w:p>
            <w:pPr>
              <w:pStyle w:val="72"/>
              <w:keepNext w:val="0"/>
              <w:keepLines w:val="0"/>
              <w:rPr>
                <w:rFonts w:cs="Arial"/>
                <w:szCs w:val="18"/>
              </w:rPr>
            </w:pPr>
            <w:r>
              <w:rPr>
                <w:rFonts w:cs="Arial"/>
                <w:szCs w:val="18"/>
              </w:rPr>
              <w:t>If an OSDD does not include a receiver target redirection range the following 4 directions shall be declared:</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The direction determined by the maximum φ value achievable inside the sensitivity RoAoA, while θ value being the closest possible to the receiver target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The direction determined by the minimum φ value achievable inside the sensitivity RoAoA, while θ value being the closest possible to the receiver target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The direction determined by the maximum θ value achievable inside the sensitivity RoAoA, while φ value being the closest possible to the receiver target reference direction.</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The direction determined by the minimum θ value achievable inside the sensitivity RoAoA, while φ value being the closest possible to the receiver target reference direction.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OTA coverage range</w:t>
            </w:r>
          </w:p>
        </w:tc>
        <w:tc>
          <w:tcPr>
            <w:tcW w:w="4978" w:type="dxa"/>
            <w:tcBorders>
              <w:top w:val="single" w:color="auto" w:sz="4" w:space="0"/>
              <w:left w:val="single" w:color="auto" w:sz="4" w:space="0"/>
              <w:bottom w:val="single" w:color="auto" w:sz="4" w:space="0"/>
              <w:right w:val="single" w:color="auto" w:sz="4" w:space="0"/>
            </w:tcBorders>
          </w:tcPr>
          <w:p>
            <w:pPr>
              <w:pStyle w:val="72"/>
            </w:pPr>
            <w:r>
              <w:t>Declared as a single range of directions within which selected TX OTA requirements are intended to be met.</w:t>
            </w:r>
          </w:p>
          <w:p>
            <w:pPr>
              <w:pStyle w:val="72"/>
            </w:pPr>
            <w:r>
              <w:t>(Note 10)</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eastAsia="宋体" w:cs="Arial"/>
                <w:i/>
                <w:szCs w:val="18"/>
              </w:rPr>
              <w:t>OTA coverage range</w:t>
            </w:r>
            <w:r>
              <w:rPr>
                <w:rFonts w:eastAsia="宋体" w:cs="Arial"/>
                <w:szCs w:val="18"/>
              </w:rPr>
              <w:t xml:space="preserve"> reference direction</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direction describing the reference direction of the </w:t>
            </w:r>
            <w:r>
              <w:rPr>
                <w:i/>
              </w:rPr>
              <w:t>OTA converge range</w:t>
            </w:r>
            <w:r>
              <w:t xml:space="preserve"> (D.34).</w:t>
            </w:r>
          </w:p>
          <w:p>
            <w:pPr>
              <w:pStyle w:val="72"/>
            </w:pPr>
            <w:r>
              <w:t>(Note 11)</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D.36</w:t>
            </w:r>
          </w:p>
        </w:tc>
        <w:tc>
          <w:tcPr>
            <w:tcW w:w="2184" w:type="dxa"/>
            <w:tcBorders>
              <w:top w:val="single" w:color="auto" w:sz="4" w:space="0"/>
              <w:left w:val="single" w:color="auto" w:sz="4" w:space="0"/>
              <w:bottom w:val="single" w:color="auto" w:sz="4" w:space="0"/>
              <w:right w:val="single" w:color="auto" w:sz="4" w:space="0"/>
            </w:tcBorders>
          </w:tcPr>
          <w:p>
            <w:pPr>
              <w:pStyle w:val="72"/>
              <w:rPr>
                <w:rFonts w:eastAsia="宋体" w:cs="Arial"/>
                <w:i/>
                <w:szCs w:val="18"/>
              </w:rPr>
            </w:pPr>
            <w:r>
              <w:rPr>
                <w:rFonts w:cs="Arial"/>
                <w:i/>
                <w:szCs w:val="18"/>
              </w:rPr>
              <w:t>OTA coverage range</w:t>
            </w:r>
            <w:r>
              <w:t xml:space="preserve"> </w:t>
            </w:r>
            <w:r>
              <w:rPr>
                <w:rFonts w:cs="Arial"/>
                <w:i/>
                <w:szCs w:val="18"/>
              </w:rPr>
              <w:t>maximum directions</w:t>
            </w:r>
          </w:p>
        </w:tc>
        <w:tc>
          <w:tcPr>
            <w:tcW w:w="497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rPr>
            </w:pPr>
            <w:r>
              <w:rPr>
                <w:rFonts w:ascii="Arial" w:hAnsi="Arial" w:cs="Arial"/>
                <w:sz w:val="18"/>
                <w:szCs w:val="18"/>
              </w:rPr>
              <w:t>The directions corresponding to the following points:</w:t>
            </w:r>
          </w:p>
          <w:p>
            <w:pPr>
              <w:pStyle w:val="72"/>
              <w:keepNext w:val="0"/>
              <w:keepLines w:val="0"/>
              <w:ind w:left="587" w:hanging="304"/>
              <w:rPr>
                <w:rFonts w:cs="Arial"/>
                <w:szCs w:val="18"/>
              </w:rPr>
            </w:pPr>
            <w:r>
              <w:t>1)</w:t>
            </w:r>
            <w:r>
              <w:tab/>
            </w:r>
            <w:r>
              <w:rPr>
                <w:rFonts w:cs="Arial"/>
                <w:szCs w:val="18"/>
              </w:rPr>
              <w:t xml:space="preserve">The direction determined by the maximum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 xml:space="preserve">The direction determined by the minimum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 xml:space="preserve">The direction determined by the maximum θ value achievable inside the </w:t>
            </w:r>
            <w:r>
              <w:rPr>
                <w:rFonts w:cs="Arial"/>
                <w:i/>
                <w:szCs w:val="18"/>
              </w:rPr>
              <w:t>OTA coverage range</w:t>
            </w:r>
            <w:r>
              <w:rPr>
                <w:rFonts w:cs="Arial"/>
                <w:szCs w:val="18"/>
              </w:rPr>
              <w:t xml:space="preserve">, while φ value being the closest possible to the </w:t>
            </w:r>
            <w:r>
              <w:rPr>
                <w:rFonts w:cs="Arial"/>
                <w:i/>
                <w:szCs w:val="18"/>
              </w:rPr>
              <w:t>OTA coverage range</w:t>
            </w:r>
            <w:r>
              <w:rPr>
                <w:rFonts w:cs="Arial"/>
                <w:szCs w:val="18"/>
              </w:rPr>
              <w:t xml:space="preserve"> reference direction.</w:t>
            </w:r>
          </w:p>
          <w:p>
            <w:pPr>
              <w:pStyle w:val="72"/>
              <w:keepNext w:val="0"/>
              <w:keepLines w:val="0"/>
              <w:ind w:left="587" w:hanging="304"/>
              <w:rPr>
                <w:rFonts w:eastAsia="宋体" w:cs="Arial"/>
                <w:szCs w:val="18"/>
              </w:rPr>
            </w:pPr>
            <w:r>
              <w:rPr>
                <w:rFonts w:cs="Arial"/>
                <w:szCs w:val="18"/>
              </w:rPr>
              <w:t>4)</w:t>
            </w:r>
            <w:r>
              <w:rPr>
                <w:rFonts w:cs="Arial"/>
                <w:szCs w:val="18"/>
              </w:rPr>
              <w:tab/>
            </w:r>
            <w:r>
              <w:rPr>
                <w:rFonts w:cs="Arial"/>
                <w:szCs w:val="18"/>
              </w:rPr>
              <w:t>The direction determined by the minimum θ value achievable inside the OTA coverage range, while φ value being the closest possible to the OTA coverage range reference direction.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cs="Arial"/>
                <w:szCs w:val="18"/>
              </w:rPr>
              <w:t>The rated carrier OTA BS power, P</w:t>
            </w:r>
            <w:r>
              <w:rPr>
                <w:rFonts w:cs="Arial"/>
                <w:szCs w:val="18"/>
                <w:vertAlign w:val="subscript"/>
              </w:rPr>
              <w:t>Rated,c,TRP</w:t>
            </w:r>
          </w:p>
        </w:tc>
        <w:tc>
          <w:tcPr>
            <w:tcW w:w="4978" w:type="dxa"/>
            <w:tcBorders>
              <w:top w:val="single" w:color="auto" w:sz="4" w:space="0"/>
              <w:left w:val="single" w:color="auto" w:sz="4" w:space="0"/>
              <w:bottom w:val="single" w:color="auto" w:sz="4" w:space="0"/>
              <w:right w:val="single" w:color="auto" w:sz="4" w:space="0"/>
            </w:tcBorders>
          </w:tcPr>
          <w:p>
            <w:pPr>
              <w:pStyle w:val="72"/>
            </w:pPr>
            <w:r>
              <w:t>P</w:t>
            </w:r>
            <w:r>
              <w:rPr>
                <w:rFonts w:cs="Arial"/>
                <w:szCs w:val="18"/>
                <w:vertAlign w:val="subscript"/>
              </w:rPr>
              <w:t>Rated</w:t>
            </w:r>
            <w:r>
              <w:rPr>
                <w:vertAlign w:val="subscript"/>
              </w:rPr>
              <w:t>,c,TRP</w:t>
            </w:r>
            <w:r>
              <w:t xml:space="preserve"> is declared as TRP OTA power per carrier, declared per supported operating band.</w:t>
            </w:r>
          </w:p>
          <w:p>
            <w:pPr>
              <w:pStyle w:val="87"/>
            </w:pPr>
            <w:r>
              <w:t>(Note 12, 14)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653" w:hRule="atLeast"/>
        </w:trPr>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D.38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w:t>
            </w:r>
            <w:r>
              <w:rPr>
                <w:rFonts w:cs="Arial"/>
                <w:i/>
                <w:szCs w:val="18"/>
              </w:rPr>
              <w:t>ated transmitter TRP</w:t>
            </w:r>
            <w:r>
              <w:rPr>
                <w:lang w:eastAsia="zh-CN"/>
              </w:rPr>
              <w:t>,</w:t>
            </w:r>
            <w:r>
              <w:rPr>
                <w:rFonts w:cs="Arial"/>
                <w:szCs w:val="18"/>
              </w:rPr>
              <w:t>P</w:t>
            </w:r>
            <w:r>
              <w:rPr>
                <w:rFonts w:cs="Arial"/>
                <w:szCs w:val="18"/>
                <w:vertAlign w:val="subscript"/>
              </w:rPr>
              <w:t>rated,t,TRP</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Rated total radiated output power</w:t>
            </w:r>
            <w:r>
              <w:rPr>
                <w:rFonts w:cs="Arial"/>
                <w:i/>
                <w:szCs w:val="18"/>
              </w:rPr>
              <w:t>.</w:t>
            </w:r>
          </w:p>
          <w:p>
            <w:pPr>
              <w:pStyle w:val="72"/>
              <w:rPr>
                <w:rFonts w:cs="Arial"/>
                <w:szCs w:val="18"/>
              </w:rPr>
            </w:pPr>
            <w:r>
              <w:rPr>
                <w:rFonts w:cs="Arial"/>
                <w:szCs w:val="18"/>
              </w:rPr>
              <w:t xml:space="preserve">Declared per supported </w:t>
            </w:r>
            <w:r>
              <w:rPr>
                <w:rFonts w:cs="Arial"/>
                <w:i/>
                <w:szCs w:val="18"/>
              </w:rPr>
              <w:t>operating band</w:t>
            </w:r>
            <w:r>
              <w:t>.</w:t>
            </w:r>
          </w:p>
          <w:p>
            <w:pPr>
              <w:pStyle w:val="72"/>
            </w:pPr>
            <w:r>
              <w:rPr>
                <w:rFonts w:cs="Arial"/>
                <w:szCs w:val="18"/>
              </w:rPr>
              <w:t>(Note 12,14)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CLTA placement for co-location test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manufacturer shall declare the side of </w:t>
            </w:r>
            <w:del w:id="82" w:author="10164287" w:date="2019-10-16T22:32:45Z">
              <w:r>
                <w:rPr/>
                <w:delText>DUT</w:delText>
              </w:r>
            </w:del>
            <w:ins w:id="83" w:author="10164287" w:date="2019-10-16T22:32:45Z">
              <w:r>
                <w:rPr>
                  <w:rFonts w:hint="eastAsia" w:eastAsia="宋体"/>
                  <w:lang w:eastAsia="zh-CN"/>
                </w:rPr>
                <w:t>EUT</w:t>
              </w:r>
            </w:ins>
            <w:r>
              <w:t xml:space="preserve"> where radiating elements are placed closest to the edge of </w:t>
            </w:r>
            <w:del w:id="84" w:author="10164287" w:date="2019-10-16T22:32:45Z">
              <w:r>
                <w:rPr/>
                <w:delText>DUT</w:delText>
              </w:r>
            </w:del>
            <w:ins w:id="85" w:author="10164287" w:date="2019-10-16T22:32:45Z">
              <w:r>
                <w:rPr>
                  <w:rFonts w:hint="eastAsia" w:eastAsia="宋体"/>
                  <w:lang w:eastAsia="zh-CN"/>
                </w:rPr>
                <w:t>EUT</w:t>
              </w:r>
            </w:ins>
            <w:r>
              <w:t xml:space="preserve"> when applicable. The CLTA shall be placed at the </w:t>
            </w:r>
            <w:del w:id="86" w:author="10164287" w:date="2019-10-16T22:32:45Z">
              <w:r>
                <w:rPr/>
                <w:delText>DUT</w:delText>
              </w:r>
            </w:del>
            <w:ins w:id="87" w:author="10164287" w:date="2019-10-16T22:32:45Z">
              <w:r>
                <w:rPr>
                  <w:rFonts w:hint="eastAsia" w:eastAsia="宋体"/>
                  <w:lang w:eastAsia="zh-CN"/>
                </w:rPr>
                <w:t>EUT</w:t>
              </w:r>
            </w:ins>
            <w:r>
              <w:t xml:space="preserve"> side where radiating elements are placed closest.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Spurious emission category</w:t>
            </w:r>
          </w:p>
        </w:tc>
        <w:tc>
          <w:tcPr>
            <w:tcW w:w="4978" w:type="dxa"/>
            <w:tcBorders>
              <w:top w:val="single" w:color="auto" w:sz="4" w:space="0"/>
              <w:left w:val="single" w:color="auto" w:sz="4" w:space="0"/>
              <w:bottom w:val="single" w:color="auto" w:sz="4" w:space="0"/>
              <w:right w:val="single" w:color="auto" w:sz="4" w:space="0"/>
            </w:tcBorders>
          </w:tcPr>
          <w:p>
            <w:pPr>
              <w:pStyle w:val="72"/>
            </w:pPr>
            <w:r>
              <w:t>Declare the BS spurious emission category as either category A or B with respect to the limits for spurious emissions, as defined in Recommendation ITU-R SM.329 [5].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v4.2.0"/>
              </w:rPr>
              <w:t>Additional operating band unwanted emissions</w:t>
            </w:r>
          </w:p>
        </w:tc>
        <w:tc>
          <w:tcPr>
            <w:tcW w:w="4978" w:type="dxa"/>
            <w:tcBorders>
              <w:top w:val="single" w:color="auto" w:sz="4" w:space="0"/>
              <w:left w:val="single" w:color="auto" w:sz="4" w:space="0"/>
              <w:bottom w:val="single" w:color="auto" w:sz="4" w:space="0"/>
              <w:right w:val="single" w:color="auto" w:sz="4" w:space="0"/>
            </w:tcBorders>
          </w:tcPr>
          <w:p>
            <w:pPr>
              <w:pStyle w:val="72"/>
            </w:pPr>
            <w:r>
              <w:t>The manufacturer shall declare whether the BS under test is intended to operate in geographic areas where the additional operating band unwanted emission limits defined in clause 6.7.4 apply.</w:t>
            </w:r>
          </w:p>
          <w:p>
            <w:pPr>
              <w:pStyle w:val="72"/>
            </w:pPr>
            <w:r>
              <w:t>(Note 16)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Co-existence with other systems</w:t>
            </w:r>
          </w:p>
        </w:tc>
        <w:tc>
          <w:tcPr>
            <w:tcW w:w="4978" w:type="dxa"/>
            <w:tcBorders>
              <w:top w:val="single" w:color="auto" w:sz="4" w:space="0"/>
              <w:left w:val="single" w:color="auto" w:sz="4" w:space="0"/>
              <w:bottom w:val="single" w:color="auto" w:sz="4" w:space="0"/>
              <w:right w:val="single" w:color="auto" w:sz="4" w:space="0"/>
            </w:tcBorders>
          </w:tcPr>
          <w:p>
            <w:pPr>
              <w:pStyle w:val="72"/>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Co-location with other base stations</w:t>
            </w:r>
          </w:p>
        </w:tc>
        <w:tc>
          <w:tcPr>
            <w:tcW w:w="4978" w:type="dxa"/>
            <w:tcBorders>
              <w:top w:val="single" w:color="auto" w:sz="4" w:space="0"/>
              <w:left w:val="single" w:color="auto" w:sz="4" w:space="0"/>
              <w:bottom w:val="single" w:color="auto" w:sz="4" w:space="0"/>
              <w:right w:val="single" w:color="auto" w:sz="4" w:space="0"/>
            </w:tcBorders>
          </w:tcPr>
          <w:p>
            <w:pPr>
              <w:pStyle w:val="72"/>
            </w:pPr>
            <w:r>
              <w:t>The manufacturer shall declare whether the BS under test is intended to operate co-located with Base Stations of one or more of the systems GSM850, GSM900, DCS1800, PCS1900, UTRA FDD, UTRA TDD and/or E-UTRA operating in another operating band.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Single-band RIB or multi-band RIB</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List of </w:t>
            </w:r>
            <w:r>
              <w:rPr>
                <w:i/>
              </w:rPr>
              <w:t>single-band RIB and/or multi-band RIB</w:t>
            </w:r>
            <w:r>
              <w:t xml:space="preserve"> for the supported </w:t>
            </w:r>
            <w:r>
              <w:rPr>
                <w:i/>
              </w:rPr>
              <w:t>operating bands</w:t>
            </w:r>
            <w:r>
              <w:t xml:space="preserve"> (D.4).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cs="Arial"/>
                <w:szCs w:val="18"/>
              </w:rPr>
              <w:t>Single or multiple carrier</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BS capability to operate with a single carrier (only) or multiple carriers. Declared per supported operating band, per RIB. </w:t>
            </w:r>
          </w:p>
          <w:p>
            <w:pPr>
              <w:pStyle w:val="72"/>
            </w:pPr>
            <w:r>
              <w:t>(Note 17)</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zh-CN"/>
              </w:rPr>
              <w:t xml:space="preserve">Maximum number of supported carriers per </w:t>
            </w:r>
            <w:r>
              <w:rPr>
                <w:rFonts w:cs="Arial"/>
                <w:i/>
                <w:szCs w:val="18"/>
                <w:lang w:eastAsia="zh-CN"/>
              </w:rPr>
              <w:t>operating band</w:t>
            </w:r>
          </w:p>
        </w:tc>
        <w:tc>
          <w:tcPr>
            <w:tcW w:w="4978" w:type="dxa"/>
            <w:tcBorders>
              <w:top w:val="single" w:color="auto" w:sz="4" w:space="0"/>
              <w:left w:val="single" w:color="auto" w:sz="4" w:space="0"/>
              <w:bottom w:val="single" w:color="auto" w:sz="4" w:space="0"/>
              <w:right w:val="single" w:color="auto" w:sz="4" w:space="0"/>
            </w:tcBorders>
          </w:tcPr>
          <w:p>
            <w:pPr>
              <w:pStyle w:val="72"/>
            </w:pPr>
            <w:r>
              <w:t>Maximum number of supported carriers. Declared per supported operating band, per RIB.</w:t>
            </w:r>
          </w:p>
          <w:p>
            <w:pPr>
              <w:pStyle w:val="72"/>
            </w:pPr>
            <w:r>
              <w:t>(Note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Total maximum number of supported carriers</w:t>
            </w:r>
          </w:p>
        </w:tc>
        <w:tc>
          <w:tcPr>
            <w:tcW w:w="4978" w:type="dxa"/>
            <w:tcBorders>
              <w:top w:val="single" w:color="auto" w:sz="4" w:space="0"/>
              <w:left w:val="single" w:color="auto" w:sz="4" w:space="0"/>
              <w:bottom w:val="single" w:color="auto" w:sz="4" w:space="0"/>
              <w:right w:val="single" w:color="auto" w:sz="4" w:space="0"/>
            </w:tcBorders>
          </w:tcPr>
          <w:p>
            <w:pPr>
              <w:pStyle w:val="72"/>
            </w:pPr>
            <w:r>
              <w:t>Maximum number of supported carriers for all supported operating bands. Declared per RIB.</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rPr>
              <w:t>Other band combination multi-band restrictions</w:t>
            </w:r>
          </w:p>
        </w:tc>
        <w:tc>
          <w:tcPr>
            <w:tcW w:w="4978" w:type="dxa"/>
            <w:tcBorders>
              <w:top w:val="single" w:color="auto" w:sz="4" w:space="0"/>
              <w:left w:val="single" w:color="auto" w:sz="4" w:space="0"/>
              <w:bottom w:val="single" w:color="auto" w:sz="4" w:space="0"/>
              <w:right w:val="single" w:color="auto" w:sz="4" w:space="0"/>
            </w:tcBorders>
          </w:tcPr>
          <w:p>
            <w:pPr>
              <w:pStyle w:val="72"/>
            </w:pPr>
            <w:r>
              <w:t>Declare any other limitation under simultaneous operation in the declared band combinations (D.16), which have any impact on the test configuration generation.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eastAsia="MS Mincho" w:cs="Arial"/>
                <w:iCs/>
                <w:szCs w:val="18"/>
                <w:lang w:eastAsia="ja-JP"/>
              </w:rPr>
              <w:t>N</w:t>
            </w:r>
            <w:r>
              <w:rPr>
                <w:rFonts w:eastAsia="MS Mincho" w:cs="Arial"/>
                <w:iCs/>
                <w:szCs w:val="18"/>
                <w:vertAlign w:val="subscript"/>
                <w:lang w:eastAsia="ja-JP"/>
              </w:rPr>
              <w:t>cells</w:t>
            </w:r>
          </w:p>
        </w:tc>
        <w:tc>
          <w:tcPr>
            <w:tcW w:w="4978" w:type="dxa"/>
            <w:tcBorders>
              <w:top w:val="single" w:color="auto" w:sz="4" w:space="0"/>
              <w:left w:val="single" w:color="auto" w:sz="4" w:space="0"/>
              <w:bottom w:val="single" w:color="auto" w:sz="4" w:space="0"/>
              <w:right w:val="single" w:color="auto" w:sz="4" w:space="0"/>
            </w:tcBorders>
          </w:tcPr>
          <w:p>
            <w:pPr>
              <w:pStyle w:val="72"/>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D.50</w:t>
            </w:r>
          </w:p>
        </w:tc>
        <w:tc>
          <w:tcPr>
            <w:tcW w:w="2184" w:type="dxa"/>
            <w:tcBorders>
              <w:top w:val="single" w:color="auto" w:sz="4" w:space="0"/>
              <w:left w:val="single" w:color="auto" w:sz="4" w:space="0"/>
              <w:bottom w:val="single" w:color="auto" w:sz="4" w:space="0"/>
              <w:right w:val="single" w:color="auto" w:sz="4" w:space="0"/>
            </w:tcBorders>
          </w:tcPr>
          <w:p>
            <w:pPr>
              <w:pStyle w:val="72"/>
              <w:rPr>
                <w:rFonts w:eastAsia="MS Mincho" w:cs="Arial"/>
                <w:iCs/>
                <w:szCs w:val="18"/>
                <w:lang w:eastAsia="ja-JP"/>
              </w:rPr>
            </w:pPr>
            <w:r>
              <w:rPr>
                <w:rFonts w:cs="Arial"/>
                <w:szCs w:val="18"/>
              </w:rPr>
              <w:t>Maximum supported power difference between carriers</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Maximum supported power difference between carriers in each supported </w:t>
            </w:r>
            <w:r>
              <w:rPr>
                <w:i/>
              </w:rPr>
              <w:t>operating band</w:t>
            </w:r>
            <w:r>
              <w:t xml:space="preserve">. Declared per </w:t>
            </w:r>
            <w:r>
              <w:rPr>
                <w:i/>
              </w:rPr>
              <w:t>operating band</w:t>
            </w:r>
            <w:r>
              <w:t xml:space="preserve"> (D.4).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Maximum supported power difference between carriers is different </w:t>
            </w:r>
            <w:r>
              <w:rPr>
                <w:rFonts w:cs="Arial"/>
                <w:i/>
                <w:szCs w:val="18"/>
              </w:rPr>
              <w:t>operating bands</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Maximum supported power difference between any two carriers in any two different supported </w:t>
            </w:r>
            <w:r>
              <w:rPr>
                <w:i/>
              </w:rPr>
              <w:t>operating bands</w:t>
            </w:r>
            <w:r>
              <w:t>. Declared per operating bands combination (D.52).</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Operating band combination support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REFSENS RoAoA</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Range of angles of arrival associated with the OTA REFSENS.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REFSENS receiver target reference direction</w:t>
            </w:r>
          </w:p>
        </w:tc>
        <w:tc>
          <w:tcPr>
            <w:tcW w:w="4978" w:type="dxa"/>
            <w:tcBorders>
              <w:top w:val="single" w:color="auto" w:sz="4" w:space="0"/>
              <w:left w:val="single" w:color="auto" w:sz="4" w:space="0"/>
              <w:bottom w:val="single" w:color="auto" w:sz="4" w:space="0"/>
              <w:right w:val="single" w:color="auto" w:sz="4" w:space="0"/>
            </w:tcBorders>
          </w:tcPr>
          <w:p>
            <w:pPr>
              <w:pStyle w:val="72"/>
            </w:pPr>
            <w:r>
              <w:t>Reference direction inside the OTA REFSENS RoAoA (D.53).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REFSENS conformance test directions</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The following four OTA REFSENS conformance test directions shall be declared:</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The direction determined by the maximum φ value achievable inside the OTA REFSENS RoAoA, while θ value being the closest possible to the OTA REFSENS receiver target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The direction determined by the minimum φ value achievable inside the OTA REFSENS RoAoA, while θ value being the closest possible to the OTA REFSENS receiver target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The direction determined by the maximum θ value achievable inside the OTA REFSENS RoAoA, while φ value being the closest possible to the OTA REFSENS receiver target reference direction.</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The direction determined by the minimum θ value achievable inside the OTA REFSENS RoAoA, while φ value being the closest possible to the OTA REFSENS receiver target reference direction.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lang w:eastAsia="zh-CN"/>
              </w:rPr>
              <w:t xml:space="preserve">Supported frequency range of the NR </w:t>
            </w:r>
            <w:r>
              <w:rPr>
                <w:i/>
                <w:lang w:eastAsia="zh-CN"/>
              </w:rPr>
              <w:t>operating band</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lang w:eastAsia="ja-JP"/>
              </w:rPr>
              <w:t>r</w:t>
            </w:r>
            <w:r>
              <w:rPr>
                <w:vertAlign w:val="subscript"/>
                <w:lang w:eastAsia="zh-CN"/>
              </w:rPr>
              <w:t>ated,c,FBWlow</w:t>
            </w:r>
            <w:r>
              <w:rPr>
                <w:lang w:eastAsia="zh-CN"/>
              </w:rPr>
              <w: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lang w:eastAsia="ja-JP"/>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72"/>
            </w:pPr>
            <w:r>
              <w:t>Declared per beam for all supported frequency ranges (D.56).</w:t>
            </w:r>
          </w:p>
          <w:p>
            <w:pPr>
              <w:pStyle w:val="72"/>
              <w:keepNext w:val="0"/>
              <w:keepLines w:val="0"/>
              <w:rPr>
                <w:rFonts w:cs="Arial"/>
                <w:szCs w:val="18"/>
              </w:rPr>
            </w:pPr>
            <w:r>
              <w:t>(Note 12, 13, 14,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Rated beam EIRP at higher frequency range of the </w:t>
            </w:r>
            <w:r>
              <w:rPr>
                <w:rFonts w:cs="Arial"/>
                <w:i/>
                <w:szCs w:val="18"/>
              </w:rPr>
              <w:t>fractional bandwidth</w:t>
            </w:r>
            <w:r>
              <w:rPr>
                <w:rFonts w:cs="Arial"/>
                <w:szCs w:val="18"/>
              </w:rPr>
              <w:t xml:space="preserve"> (</w:t>
            </w:r>
            <w:r>
              <w:rPr>
                <w:lang w:eastAsia="zh-CN"/>
              </w:rPr>
              <w:t>P</w:t>
            </w:r>
            <w:r>
              <w:rPr>
                <w:rFonts w:hint="eastAsia"/>
                <w:vertAlign w:val="subscript"/>
                <w:lang w:eastAsia="ja-JP"/>
              </w:rPr>
              <w:t>r</w:t>
            </w:r>
            <w:r>
              <w:rPr>
                <w:vertAlign w:val="subscript"/>
                <w:lang w:eastAsia="zh-CN"/>
              </w:rPr>
              <w:t>ated,c,FBWhigh</w:t>
            </w:r>
            <w:r>
              <w:rPr>
                <w:rFonts w:cs="Arial"/>
                <w:szCs w:val="18"/>
              </w:rPr>
              <w: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lang w:eastAsia="ja-JP"/>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72"/>
            </w:pPr>
            <w:r>
              <w:t>Declared per beam for all supported frequency ranges in (D.56).</w:t>
            </w:r>
          </w:p>
          <w:p>
            <w:pPr>
              <w:pStyle w:val="72"/>
              <w:keepNext w:val="0"/>
              <w:keepLines w:val="0"/>
              <w:rPr>
                <w:rFonts w:cs="Arial"/>
                <w:szCs w:val="18"/>
              </w:rPr>
            </w:pPr>
            <w:r>
              <w:t>(Note 12, 13, 14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D.59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v4.2.0"/>
              </w:rPr>
              <w:t xml:space="preserve">Relation between supported maximum RF bandwidth, number of carriers and Rated maximum TRP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rPr>
                <w:rFonts w:cs="v4.2.0"/>
              </w:rPr>
              <w:t>If the rated transmitter TRP and total number of supported carriers are not simultaneously supported, the manufacturer shall declare the following additional parameters:</w:t>
            </w:r>
          </w:p>
          <w:p>
            <w:pPr>
              <w:pStyle w:val="72"/>
              <w:rPr>
                <w:rFonts w:cs="v4.2.0"/>
              </w:rPr>
            </w:pPr>
            <w:r>
              <w:rPr>
                <w:rFonts w:cs="v4.2.0"/>
              </w:rPr>
              <w:t>-</w:t>
            </w:r>
            <w:r>
              <w:rPr>
                <w:rFonts w:cs="v4.2.0"/>
              </w:rPr>
              <w:tab/>
            </w:r>
            <w:r>
              <w:rPr>
                <w:rFonts w:cs="v4.2.0"/>
              </w:rPr>
              <w:t>The reduced number of supported carriers at the rated transmitterTRP;</w:t>
            </w:r>
          </w:p>
          <w:p>
            <w:pPr>
              <w:pStyle w:val="72"/>
            </w:pPr>
            <w:r>
              <w:rPr>
                <w:rFonts w:cs="v4.2.0"/>
              </w:rPr>
              <w:t>-</w:t>
            </w:r>
            <w:r>
              <w:rPr>
                <w:rFonts w:cs="v4.2.0"/>
              </w:rPr>
              <w:tab/>
            </w:r>
            <w:r>
              <w:rPr>
                <w:rFonts w:cs="v4.2.0"/>
              </w:rPr>
              <w:t>The reduced total output power at the maximum number of supported carriers.</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D.60</w:t>
            </w:r>
          </w:p>
        </w:tc>
        <w:tc>
          <w:tcPr>
            <w:tcW w:w="2184" w:type="dxa"/>
            <w:tcBorders>
              <w:top w:val="single" w:color="auto" w:sz="4" w:space="0"/>
              <w:left w:val="single" w:color="auto" w:sz="4" w:space="0"/>
              <w:bottom w:val="single" w:color="auto" w:sz="4" w:space="0"/>
              <w:right w:val="single" w:color="auto" w:sz="4" w:space="0"/>
            </w:tcBorders>
          </w:tcPr>
          <w:p>
            <w:pPr>
              <w:pStyle w:val="72"/>
              <w:rPr>
                <w:rFonts w:cs="v4.2.0"/>
              </w:rPr>
            </w:pPr>
            <w:r>
              <w:rPr>
                <w:rFonts w:cs="Arial"/>
                <w:szCs w:val="18"/>
              </w:rPr>
              <w:t xml:space="preserve">Inter-band CA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t>Declaration of operating band(s) combinations supporting inter</w:t>
            </w:r>
            <w:r>
              <w:noBreakHyphen/>
            </w:r>
            <w:r>
              <w:t xml:space="preserve">band CA. Declared per operating band combination (D.52).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D.61</w:t>
            </w:r>
          </w:p>
        </w:tc>
        <w:tc>
          <w:tcPr>
            <w:tcW w:w="2184" w:type="dxa"/>
            <w:tcBorders>
              <w:top w:val="single" w:color="auto" w:sz="4" w:space="0"/>
              <w:left w:val="single" w:color="auto" w:sz="4" w:space="0"/>
              <w:bottom w:val="single" w:color="auto" w:sz="4" w:space="0"/>
              <w:right w:val="single" w:color="auto" w:sz="4" w:space="0"/>
            </w:tcBorders>
          </w:tcPr>
          <w:p>
            <w:pPr>
              <w:pStyle w:val="72"/>
              <w:rPr>
                <w:rFonts w:cs="v4.2.0"/>
              </w:rPr>
            </w:pPr>
            <w:r>
              <w:rPr>
                <w:rFonts w:cs="Arial"/>
                <w:szCs w:val="18"/>
              </w:rPr>
              <w:t xml:space="preserve">Intra-band contiguous CA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t xml:space="preserve">Declaration of operating band(s) supporting intra-band contiguous CA. Declared per </w:t>
            </w:r>
            <w:r>
              <w:rPr>
                <w:i/>
              </w:rPr>
              <w:t>operating band</w:t>
            </w:r>
            <w:r>
              <w:t xml:space="preserve"> with CA support.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D.62</w:t>
            </w:r>
          </w:p>
        </w:tc>
        <w:tc>
          <w:tcPr>
            <w:tcW w:w="2184" w:type="dxa"/>
            <w:tcBorders>
              <w:top w:val="single" w:color="auto" w:sz="4" w:space="0"/>
              <w:left w:val="single" w:color="auto" w:sz="4" w:space="0"/>
              <w:bottom w:val="single" w:color="auto" w:sz="4" w:space="0"/>
              <w:right w:val="single" w:color="auto" w:sz="4" w:space="0"/>
            </w:tcBorders>
          </w:tcPr>
          <w:p>
            <w:pPr>
              <w:pStyle w:val="72"/>
              <w:rPr>
                <w:rFonts w:cs="v4.2.0"/>
              </w:rPr>
            </w:pPr>
            <w:r>
              <w:rPr>
                <w:rFonts w:cs="Arial"/>
                <w:szCs w:val="18"/>
              </w:rPr>
              <w:t xml:space="preserve">Intra-band non-contiguous CA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t>Declaration of operating band(s) supporting intra-band non</w:t>
            </w:r>
            <w:r>
              <w:noBreakHyphen/>
            </w:r>
            <w:r>
              <w:t xml:space="preserve">contiguous CA. Declared per operating band with CA support.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PUSCH mapping type</w:t>
            </w:r>
          </w:p>
          <w:p>
            <w:pPr>
              <w:pStyle w:val="72"/>
              <w:rPr>
                <w:rFonts w:cs="Arial"/>
                <w:szCs w:val="18"/>
              </w:rPr>
            </w:pP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 xml:space="preserve">Declaration of the supported PUSCH mapping type for FR1 as specified in </w:t>
            </w:r>
            <w:r>
              <w:t>T</w:t>
            </w:r>
            <w:r>
              <w:rPr>
                <w:rFonts w:hint="eastAsia"/>
                <w:lang w:eastAsia="zh-CN"/>
              </w:rPr>
              <w:t>S</w:t>
            </w:r>
            <w:r>
              <w:t> 38.21</w:t>
            </w:r>
            <w:r>
              <w:rPr>
                <w:rFonts w:hint="eastAsia"/>
                <w:lang w:eastAsia="zh-CN"/>
              </w:rPr>
              <w:t>1</w:t>
            </w:r>
            <w:r>
              <w:rPr>
                <w:rFonts w:cs="Arial"/>
                <w:szCs w:val="18"/>
              </w:rPr>
              <w:t xml:space="preserve"> [20], i.e., type A,</w:t>
            </w:r>
            <w:r>
              <w:rPr>
                <w:rFonts w:hint="eastAsia" w:cs="Arial"/>
                <w:szCs w:val="18"/>
                <w:lang w:eastAsia="zh-CN"/>
              </w:rPr>
              <w:t xml:space="preserve"> </w:t>
            </w:r>
            <w:r>
              <w:rPr>
                <w:rFonts w:cs="Arial"/>
                <w:szCs w:val="18"/>
              </w:rPr>
              <w:t>type B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rPr>
              <w:t>PUSCH additional DM-RS positions</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Declaration of the supported additional DM-RS position(s) for FR2, i.e., pos0, pos1,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PUCCH format</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 xml:space="preserve">Declaration of the supported PUCCH format(s) as specified in </w:t>
            </w:r>
            <w:r>
              <w:t>T</w:t>
            </w:r>
            <w:r>
              <w:rPr>
                <w:rFonts w:hint="eastAsia"/>
                <w:lang w:eastAsia="zh-CN"/>
              </w:rPr>
              <w:t>S</w:t>
            </w:r>
            <w:r>
              <w:t> 38.21</w:t>
            </w:r>
            <w:r>
              <w:rPr>
                <w:rFonts w:hint="eastAsia"/>
                <w:lang w:eastAsia="zh-CN"/>
              </w:rPr>
              <w:t>1</w:t>
            </w:r>
            <w:r>
              <w:rPr>
                <w:rFonts w:cs="Arial"/>
                <w:szCs w:val="18"/>
              </w:rPr>
              <w:t xml:space="preserve"> [20], i.e., format 0, format 1, format 2, format 3, format 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PRACH format and SCS</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Declaration of the supported PRACH format(s) </w:t>
            </w:r>
            <w:r>
              <w:t>as specified in TS 38.211 [20],</w:t>
            </w:r>
            <w:r>
              <w:rPr>
                <w:rFonts w:cs="Arial"/>
                <w:szCs w:val="18"/>
              </w:rPr>
              <w:t xml:space="preserve"> i.e., </w:t>
            </w:r>
            <w:r>
              <w:rPr>
                <w:rFonts w:cs="Arial"/>
                <w:szCs w:val="18"/>
                <w:lang w:eastAsia="zh-CN"/>
              </w:rPr>
              <w:t xml:space="preserve">format: </w:t>
            </w:r>
            <w:r>
              <w:rPr>
                <w:rFonts w:cs="Arial"/>
                <w:szCs w:val="18"/>
              </w:rPr>
              <w:t>0, A1, A2, A3, B4, C0, C2.</w:t>
            </w:r>
          </w:p>
          <w:p>
            <w:pPr>
              <w:pStyle w:val="72"/>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[20], i.e.: </w:t>
            </w:r>
          </w:p>
          <w:p>
            <w:pPr>
              <w:pStyle w:val="72"/>
            </w:pPr>
            <w:r>
              <w:t xml:space="preserve">- For </w:t>
            </w:r>
            <w:r>
              <w:rPr>
                <w:i/>
              </w:rPr>
              <w:t>BS type 1-O</w:t>
            </w:r>
            <w:r>
              <w:t>: 15 kHz, 30 kHz or both.</w:t>
            </w:r>
          </w:p>
          <w:p>
            <w:pPr>
              <w:pStyle w:val="72"/>
            </w:pPr>
            <w:r>
              <w:rPr>
                <w:rFonts w:cs="Arial"/>
                <w:szCs w:val="18"/>
              </w:rPr>
              <w:t xml:space="preserve">- For </w:t>
            </w:r>
            <w:r>
              <w:rPr>
                <w:rFonts w:cs="Arial"/>
                <w:i/>
                <w:szCs w:val="18"/>
              </w:rPr>
              <w:t>BS type 1-O</w:t>
            </w:r>
            <w:r>
              <w:rPr>
                <w:rFonts w:cs="Arial"/>
                <w:szCs w:val="18"/>
              </w:rPr>
              <w:t>: 60 kHz, 120 kHz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Additional DM-RS for PUCCH format 3</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Declaration of the supported additional DM-RS for PUCCH format 3: without additional DM-RS,</w:t>
            </w:r>
            <w:r>
              <w:rPr>
                <w:rFonts w:hint="eastAsia" w:cs="Arial"/>
                <w:szCs w:val="18"/>
                <w:lang w:eastAsia="zh-CN"/>
              </w:rPr>
              <w:t xml:space="preserve"> </w:t>
            </w:r>
            <w:r>
              <w:rPr>
                <w:rFonts w:cs="Arial"/>
                <w:szCs w:val="18"/>
              </w:rPr>
              <w:t>with additional DM-RS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w:t>
            </w:r>
            <w:r>
              <w:rPr>
                <w:lang w:eastAsia="zh-CN"/>
              </w:rPr>
              <w:t>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Additional DM-RS for PUCCH format 4</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Declaration of the supported additional DM-RS for PUCCH format 4: without additional DM-RS,</w:t>
            </w:r>
            <w:r>
              <w:rPr>
                <w:rFonts w:hint="eastAsia" w:cs="Arial"/>
                <w:szCs w:val="18"/>
                <w:lang w:eastAsia="zh-CN"/>
              </w:rPr>
              <w:t xml:space="preserve"> </w:t>
            </w:r>
            <w:r>
              <w:rPr>
                <w:rFonts w:cs="Arial"/>
                <w:szCs w:val="18"/>
              </w:rPr>
              <w:t>with additional DM-RS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PUSCH PT-RS </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Declaration of PT-RS in PUSCH support: without PT-RS,</w:t>
            </w:r>
            <w:r>
              <w:rPr>
                <w:rFonts w:cs="Arial"/>
                <w:szCs w:val="18"/>
                <w:lang w:eastAsia="zh-CN"/>
              </w:rPr>
              <w:t xml:space="preserve"> </w:t>
            </w:r>
            <w:r>
              <w:rPr>
                <w:rFonts w:cs="Arial"/>
                <w:szCs w:val="18"/>
              </w:rPr>
              <w:t>with PT-RS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zh-CN"/>
              </w:rPr>
              <w:t xml:space="preserve">PUCCH multi-slot </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Declaration of multi-slot PUCCH support.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0255" w:type="dxa"/>
            <w:gridSpan w:val="6"/>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pPr>
              <w:pStyle w:val="87"/>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w:t>
            </w:r>
          </w:p>
          <w:p>
            <w:pPr>
              <w:pStyle w:val="87"/>
              <w:rPr>
                <w:rFonts w:cs="Arial"/>
                <w:szCs w:val="18"/>
              </w:rPr>
            </w:pPr>
            <w:r>
              <w:rPr>
                <w:rFonts w:cs="Arial"/>
                <w:szCs w:val="18"/>
              </w:rPr>
              <w:t>NOTE 3:</w:t>
            </w:r>
            <w:r>
              <w:rPr>
                <w:rFonts w:cs="Arial"/>
                <w:szCs w:val="18"/>
              </w:rPr>
              <w:tab/>
            </w:r>
            <w:r>
              <w:rPr>
                <w:rFonts w:cs="Arial"/>
                <w:szCs w:val="18"/>
              </w:rPr>
              <w:t>Depending on the capability of the system some of these beams may be the same.</w:t>
            </w:r>
          </w:p>
          <w:p>
            <w:pPr>
              <w:pStyle w:val="87"/>
            </w:pPr>
            <w:r>
              <w:t>NOTE 4:</w:t>
            </w:r>
            <w:r>
              <w:rPr>
                <w:rFonts w:cs="Arial"/>
                <w:szCs w:val="18"/>
              </w:rPr>
              <w:tab/>
            </w:r>
            <w:r>
              <w:t xml:space="preserve">These </w:t>
            </w:r>
            <w:r>
              <w:rPr>
                <w:i/>
              </w:rPr>
              <w:t>operating bands</w:t>
            </w:r>
            <w:r>
              <w:t xml:space="preserve"> are related to their respective single</w:t>
            </w:r>
            <w:r>
              <w:noBreakHyphen/>
            </w:r>
            <w:r>
              <w:t>band RIBs.</w:t>
            </w:r>
          </w:p>
          <w:p>
            <w:pPr>
              <w:pStyle w:val="87"/>
            </w:pPr>
            <w:r>
              <w:t>NOTE 5:</w:t>
            </w:r>
            <w:r>
              <w:tab/>
            </w:r>
            <w:r>
              <w:t>As each identified OSDD has a declared minimum EIS value (D.27), multiple operating band can only be declared if they have the same minimum EIS declaration.</w:t>
            </w:r>
          </w:p>
          <w:p>
            <w:pPr>
              <w:pStyle w:val="87"/>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pPr>
              <w:pStyle w:val="87"/>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pPr>
              <w:pStyle w:val="87"/>
            </w:pPr>
            <w:r>
              <w:t>NOTE 8:</w:t>
            </w:r>
            <w:r>
              <w:tab/>
            </w:r>
            <w:r>
              <w:t xml:space="preserve">Not applicable for </w:t>
            </w:r>
            <w:r>
              <w:rPr>
                <w:i/>
              </w:rPr>
              <w:t>BS type 2-O</w:t>
            </w:r>
            <w:r>
              <w:t>.</w:t>
            </w:r>
          </w:p>
          <w:p>
            <w:pPr>
              <w:pStyle w:val="87"/>
              <w:rPr>
                <w:lang w:eastAsia="zh-CN"/>
              </w:rPr>
            </w:pPr>
            <w:r>
              <w:t xml:space="preserve">NOTE </w:t>
            </w:r>
            <w:r>
              <w:rPr>
                <w:lang w:eastAsia="zh-CN"/>
              </w:rPr>
              <w:t>9:</w:t>
            </w:r>
            <w:r>
              <w:rPr>
                <w:lang w:eastAsia="zh-CN"/>
              </w:rPr>
              <w:tab/>
            </w:r>
            <w:r>
              <w:rPr>
                <w:lang w:eastAsia="zh-CN"/>
              </w:rPr>
              <w:t>For an OSDD without receiver target redirection range, this is a direction inside the sensitivity RoAoA.</w:t>
            </w:r>
          </w:p>
          <w:p>
            <w:pPr>
              <w:pStyle w:val="87"/>
            </w:pPr>
            <w:r>
              <w:t>NOTE 10:</w:t>
            </w:r>
            <w:r>
              <w:rPr>
                <w:lang w:eastAsia="zh-CN"/>
              </w:rPr>
              <w:tab/>
            </w:r>
            <w:r>
              <w:rPr>
                <w:i/>
              </w:rPr>
              <w:t>OTA coverage range</w:t>
            </w:r>
            <w:r>
              <w:t xml:space="preserve"> is used for conformance testing of such TX OTA requirements as occupied bandwidth, frequency error, TAE or EVM.</w:t>
            </w:r>
          </w:p>
          <w:p>
            <w:pPr>
              <w:pStyle w:val="87"/>
              <w:rPr>
                <w:lang w:eastAsia="zh-CN"/>
              </w:rPr>
            </w:pPr>
            <w:r>
              <w:t>NOTE 11:</w:t>
            </w:r>
            <w:r>
              <w:tab/>
            </w:r>
            <w:r>
              <w:t xml:space="preserve">The </w:t>
            </w:r>
            <w:r>
              <w:rPr>
                <w:i/>
              </w:rPr>
              <w:t>OTA coverage reference</w:t>
            </w:r>
            <w:r>
              <w:t xml:space="preserve"> direction may be the same as the Reference beam direction pair (D.8) but does not have to be.</w:t>
            </w:r>
          </w:p>
          <w:p>
            <w:pPr>
              <w:pStyle w:val="87"/>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pPr>
              <w:pStyle w:val="87"/>
            </w:pPr>
            <w:r>
              <w:rPr>
                <w:lang w:eastAsia="zh-CN"/>
              </w:rPr>
              <w:t xml:space="preserve">NOTE </w:t>
            </w:r>
            <w:r>
              <w:t>13:</w:t>
            </w:r>
            <w:r>
              <w:tab/>
            </w:r>
            <w:r>
              <w:t xml:space="preserve">If </w:t>
            </w:r>
            <w:r>
              <w:rPr>
                <w:rFonts w:cs="Arial"/>
                <w:szCs w:val="18"/>
              </w:rPr>
              <w:t xml:space="preserve">D.57 and D.58 are </w:t>
            </w:r>
            <w:r>
              <w:t xml:space="preserve">declared for certain frequency range (D.56), there shall be no “Rated beam EIRP” declaration (D.11) for the </w:t>
            </w:r>
            <w:r>
              <w:rPr>
                <w:i/>
              </w:rPr>
              <w:t>operating band</w:t>
            </w:r>
            <w:r>
              <w:t xml:space="preserve"> containing that particular frequency range.</w:t>
            </w:r>
          </w:p>
          <w:p>
            <w:pPr>
              <w:pStyle w:val="87"/>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pPr>
              <w:pStyle w:val="87"/>
              <w:rPr>
                <w:rFonts w:cs="Arial"/>
                <w:szCs w:val="18"/>
                <w:lang w:val="en-US"/>
              </w:rPr>
            </w:pPr>
            <w:r>
              <w:t>NOTE 15:</w:t>
            </w:r>
            <w:r>
              <w:tab/>
            </w:r>
            <w:r>
              <w:rPr>
                <w:rFonts w:cs="Arial"/>
                <w:szCs w:val="18"/>
                <w:lang w:val="en-US"/>
              </w:rPr>
              <w:t>Parameters for contiguous or non-contiguous spectrum operation in the operating band are assumed to be the same unless they are separately declared.</w:t>
            </w:r>
          </w:p>
          <w:p>
            <w:pPr>
              <w:pStyle w:val="87"/>
              <w:rPr>
                <w:rFonts w:cs="Arial"/>
                <w:szCs w:val="18"/>
              </w:rPr>
            </w:pPr>
            <w:r>
              <w:t>NOTE 16:</w:t>
            </w:r>
            <w:r>
              <w:tab/>
            </w:r>
            <w:r>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pPr>
              <w:pStyle w:val="87"/>
              <w:rPr>
                <w:lang w:eastAsia="zh-CN"/>
              </w:rPr>
            </w:pPr>
            <w:r>
              <w:t>NOTE 17:</w:t>
            </w:r>
            <w:r>
              <w:tab/>
            </w:r>
            <w:r>
              <w:rPr>
                <w:lang w:eastAsia="zh-CN"/>
              </w:rPr>
              <w:t xml:space="preserve">In case of BS type 1-H, this declaration applies per </w:t>
            </w:r>
            <w:r>
              <w:rPr>
                <w:i/>
                <w:lang w:eastAsia="zh-CN"/>
              </w:rPr>
              <w:t>TAB connector</w:t>
            </w:r>
            <w:r>
              <w:rPr>
                <w:lang w:eastAsia="zh-CN"/>
              </w:rPr>
              <w:t>.</w:t>
            </w:r>
          </w:p>
        </w:tc>
      </w:tr>
    </w:tbl>
    <w:p/>
    <w:p>
      <w:pPr>
        <w:pStyle w:val="4"/>
        <w:ind w:left="0" w:firstLine="0"/>
        <w:rPr>
          <w:rFonts w:hint="eastAsia"/>
          <w:lang w:val="en-US" w:eastAsia="zh-CN"/>
        </w:rPr>
      </w:pPr>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p>
      <w:pPr>
        <w:pStyle w:val="3"/>
        <w:rPr>
          <w:lang w:eastAsia="zh-CN"/>
        </w:rPr>
      </w:pPr>
      <w:bookmarkStart w:id="31" w:name="_Toc13082389"/>
      <w:r>
        <w:rPr>
          <w:rFonts w:hint="eastAsia"/>
          <w:lang w:eastAsia="zh-CN"/>
        </w:rPr>
        <w:t>I.2.2</w:t>
      </w:r>
      <w:r>
        <w:rPr>
          <w:lang w:eastAsia="en-GB"/>
        </w:rPr>
        <w:tab/>
      </w:r>
      <w:r>
        <w:rPr>
          <w:lang w:eastAsia="en-GB"/>
        </w:rPr>
        <w:t>Reference angular step criteria</w:t>
      </w:r>
      <w:bookmarkEnd w:id="31"/>
    </w:p>
    <w:p>
      <w:pPr>
        <w:rPr>
          <w:rFonts w:eastAsia="MS Mincho"/>
          <w:lang w:val="en-US"/>
        </w:rPr>
      </w:pPr>
      <w:r>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ctrlPr>
              <w:rPr>
                <w:rFonts w:ascii="Cambria Math" w:hAnsi="Cambria Math"/>
                <w:i/>
              </w:rPr>
            </m:ctrlPr>
          </m:e>
          <m:sub>
            <m:r>
              <w:rPr>
                <w:rFonts w:ascii="Cambria Math" w:hAnsi="Cambria Math"/>
              </w:rPr>
              <m:t>ref</m:t>
            </m:r>
            <m:ctrlPr>
              <w:rPr>
                <w:rFonts w:ascii="Cambria Math" w:hAnsi="Cambria Math"/>
                <w:i/>
              </w:rPr>
            </m:ctrlPr>
          </m:sub>
        </m:sSub>
      </m:oMath>
      <w:r>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ctrlPr>
              <w:rPr>
                <w:rFonts w:ascii="Cambria Math" w:hAnsi="Cambria Math"/>
                <w:i/>
              </w:rPr>
            </m:ctrlPr>
          </m:e>
          <m:sub>
            <m:r>
              <w:rPr>
                <w:rFonts w:ascii="Cambria Math" w:hAnsi="Cambria Math"/>
              </w:rPr>
              <m:t>ref</m:t>
            </m:r>
            <m:ctrlPr>
              <w:rPr>
                <w:rFonts w:ascii="Cambria Math" w:hAnsi="Cambria Math"/>
                <w:i/>
              </w:rPr>
            </m:ctrlPr>
          </m:sub>
        </m:sSub>
      </m:oMath>
      <w:r>
        <w:rPr>
          <w:rFonts w:eastAsia="MS Mincho"/>
          <w:lang w:val="en-US"/>
        </w:rPr>
        <w:t xml:space="preserve"> in degrees are defined as:</w:t>
      </w:r>
    </w:p>
    <w:p>
      <w:pPr>
        <w:pStyle w:val="64"/>
        <w:rPr>
          <w:rFonts w:ascii="Cambria Math" w:hAnsi="Cambria Math"/>
        </w:rPr>
      </w:pPr>
      <w:r>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w:rPr>
                <w:rFonts w:ascii="Cambria Math" w:hAnsi="Cambria Math"/>
              </w:rPr>
              <m:t>λ</m:t>
            </m:r>
            <m:ctrlPr>
              <w:rPr>
                <w:rFonts w:ascii="Cambria Math" w:hAnsi="Cambria Math"/>
              </w:rPr>
            </m:ctrlPr>
          </m:num>
          <m:den>
            <m:sSub>
              <m:sSubPr>
                <m:ctrlPr>
                  <w:rPr>
                    <w:rFonts w:ascii="Cambria Math" w:hAnsi="Cambria Math"/>
                  </w:rPr>
                </m:ctrlPr>
              </m:sSubPr>
              <m:e>
                <m:r>
                  <w:rPr>
                    <w:rFonts w:ascii="Cambria Math" w:hAnsi="Cambria Math"/>
                  </w:rPr>
                  <m:t>D</m:t>
                </m:r>
                <m:ctrlPr>
                  <w:rPr>
                    <w:rFonts w:ascii="Cambria Math" w:hAnsi="Cambria Math"/>
                  </w:rPr>
                </m:ctrlPr>
              </m:e>
              <m:sub>
                <m:r>
                  <m:rPr>
                    <m:sty m:val="p"/>
                  </m:rPr>
                  <w:rPr>
                    <w:rFonts w:ascii="Cambria Math" w:hAnsi="Cambria Math"/>
                  </w:rPr>
                  <m:t>cyl</m:t>
                </m:r>
                <m:ctrlPr>
                  <w:rPr>
                    <w:rFonts w:ascii="Cambria Math" w:hAnsi="Cambria Math"/>
                  </w:rPr>
                </m:ctrlPr>
              </m:sub>
            </m:sSub>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pPr>
        <w:pStyle w:val="64"/>
        <w:rPr>
          <w:rFonts w:ascii="Cambria Math" w:hAnsi="Cambria Math"/>
        </w:rPr>
      </w:pPr>
      <w:r>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w:rPr>
                <w:rFonts w:ascii="Cambria Math" w:hAnsi="Cambria Math"/>
              </w:rPr>
              <m:t>λ</m:t>
            </m:r>
            <m:ctrlPr>
              <w:rPr>
                <w:rFonts w:ascii="Cambria Math" w:hAnsi="Cambria Math"/>
              </w:rPr>
            </m:ctrlPr>
          </m:num>
          <m:den>
            <m:r>
              <w:rPr>
                <w:rFonts w:ascii="Cambria Math" w:hAnsi="Cambria Math"/>
              </w:rPr>
              <m:t>D</m:t>
            </m:r>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oMath>
      <w:r>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 xml:space="preserve">is large compared to the </w:t>
      </w:r>
      <w:del w:id="88" w:author="10164287" w:date="2019-10-16T22:32:45Z">
        <w:r>
          <w:rPr>
            <w:lang w:val="en-US" w:eastAsia="zh-CN"/>
          </w:rPr>
          <w:delText>DUT</w:delText>
        </w:r>
      </w:del>
      <w:ins w:id="89" w:author="10164287" w:date="2019-10-16T22:32:45Z">
        <w:r>
          <w:rPr>
            <w:rFonts w:hint="eastAsia"/>
            <w:lang w:val="en-US" w:eastAsia="zh-CN"/>
          </w:rPr>
          <w:t>EUT</w:t>
        </w:r>
      </w:ins>
      <w:r>
        <w:rPr>
          <w:lang w:val="en-US" w:eastAsia="zh-CN"/>
        </w:rPr>
        <w:t xml:space="preserve"> dimensions.</w:t>
      </w:r>
    </w:p>
    <w:p>
      <w:pPr>
        <w:pStyle w:val="64"/>
        <w:rPr>
          <w:rFonts w:eastAsia="MS Mincho"/>
          <w:lang w:val="en-US"/>
        </w:rPr>
      </w:pPr>
      <w:r>
        <w:rPr>
          <w:rFonts w:eastAsia="MS Mincho"/>
          <w:lang w:eastAsia="ja-JP"/>
        </w:rPr>
        <w:t>D</w:t>
      </w:r>
      <w:r>
        <w:rPr>
          <w:rFonts w:eastAsia="MS Mincho"/>
          <w:vertAlign w:val="subscript"/>
          <w:lang w:eastAsia="ja-JP"/>
        </w:rPr>
        <w:t>cyl</w:t>
      </w:r>
      <w:r>
        <w:rPr>
          <w:rFonts w:eastAsia="MS Mincho"/>
          <w:lang w:val="en-US"/>
        </w:rPr>
        <w:t xml:space="preserve"> and D are calculated as:</w:t>
      </w:r>
    </w:p>
    <w:p>
      <w:pPr>
        <w:pStyle w:val="64"/>
        <w:rPr>
          <w:rFonts w:eastAsia="MS Mincho"/>
          <w:lang w:val="en-US"/>
        </w:rPr>
      </w:pPr>
      <w:r>
        <w:rPr>
          <w:rFonts w:eastAsia="MS Mincho"/>
        </w:rPr>
        <w:t>`</w:t>
      </w:r>
      <w:r>
        <w:rPr>
          <w:rFonts w:eastAsia="MS Mincho"/>
        </w:rPr>
        <w:tab/>
      </w:r>
      <m:oMath>
        <m:sSub>
          <m:sSubPr>
            <m:ctrlPr>
              <w:rPr>
                <w:rFonts w:ascii="Cambria Math" w:hAnsi="Cambria Math"/>
              </w:rPr>
            </m:ctrlPr>
          </m:sSubPr>
          <m:e>
            <m:r>
              <w:rPr>
                <w:rFonts w:ascii="Cambria Math" w:hAnsi="Cambria Math"/>
              </w:rPr>
              <m:t>D</m:t>
            </m:r>
            <m:ctrlPr>
              <w:rPr>
                <w:rFonts w:ascii="Cambria Math" w:hAnsi="Cambria Math"/>
              </w:rPr>
            </m:ctrlPr>
          </m:e>
          <m:sub>
            <m:r>
              <m:rPr>
                <m:nor/>
                <m:sty m:val="p"/>
              </m:rPr>
              <w:rPr>
                <w:b w:val="0"/>
                <w:i w:val="0"/>
              </w:rPr>
              <m:t>cyl</m:t>
            </m:r>
            <m:ctrlPr>
              <w:rPr>
                <w:rFonts w:ascii="Cambria Math" w:hAnsi="Cambria Math"/>
              </w:rPr>
            </m:ctrlPr>
          </m:sub>
        </m:sSub>
        <m: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w:rPr>
                    <w:rFonts w:ascii="Cambria Math" w:hAnsi="Cambria Math"/>
                  </w:rPr>
                  <m:t>d</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w</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oMath>
    </w:p>
    <w:p>
      <w:pPr>
        <w:pStyle w:val="64"/>
        <w:rPr>
          <w:rFonts w:eastAsia="MS Mincho"/>
        </w:rPr>
      </w:pPr>
      <w:r>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w:rPr>
                    <w:rFonts w:ascii="Cambria Math" w:hAnsi="Cambria Math"/>
                  </w:rPr>
                  <m:t>d</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w:rPr>
                    <w:rFonts w:ascii="Cambria Math" w:hAnsi="Cambria Math"/>
                  </w:rPr>
                  <m:t>w</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w:rPr>
                    <w:rFonts w:ascii="Cambria Math" w:hAnsi="Cambria Math"/>
                  </w:rPr>
                  <m:t>h</m:t>
                </m:r>
                <m:ctrlPr>
                  <w:rPr>
                    <w:rFonts w:ascii="Cambria Math" w:hAnsi="Cambria Math"/>
                  </w:rPr>
                </m:ctrlPr>
              </m:e>
              <m:sup>
                <m:r>
                  <m:rPr>
                    <m:sty m:val="p"/>
                  </m:rPr>
                  <w:rPr>
                    <w:rFonts w:ascii="Cambria Math" w:hAnsi="Cambria Math"/>
                  </w:rPr>
                  <m:t xml:space="preserve">2        </m:t>
                </m:r>
                <m:ctrlPr>
                  <w:rPr>
                    <w:rFonts w:ascii="Cambria Math" w:hAnsi="Cambria Math"/>
                  </w:rPr>
                </m:ctrlPr>
              </m:sup>
            </m:sSup>
            <m:ctrlPr>
              <w:rPr>
                <w:rFonts w:ascii="Cambria Math" w:hAnsi="Cambria Math"/>
              </w:rPr>
            </m:ctrlPr>
          </m:e>
        </m:rad>
        <m:r>
          <m:rPr>
            <m:sty m:val="p"/>
          </m:rPr>
          <w:rPr>
            <w:rFonts w:ascii="Cambria Math" w:hAnsi="Cambria Math"/>
          </w:rPr>
          <m:t xml:space="preserve">   </m:t>
        </m:r>
      </m:oMath>
    </w:p>
    <w:p>
      <w:pPr>
        <w:rPr>
          <w:sz w:val="21"/>
          <w:szCs w:val="21"/>
          <w:lang w:val="en-US" w:eastAsia="en-GB"/>
        </w:rPr>
      </w:pPr>
      <w:r>
        <w:rPr>
          <w:rFonts w:eastAsia="MS Mincho"/>
          <w:lang w:val="en-US"/>
        </w:rPr>
        <w:t xml:space="preserve">The definition of d, w and h is shown in figure I2.2-1. </w:t>
      </w:r>
      <w:r>
        <w:rPr>
          <w:sz w:val="21"/>
          <w:szCs w:val="21"/>
          <w:lang w:val="en-US" w:eastAsia="en-GB"/>
        </w:rPr>
        <w:t>The radiation source can be EUT antenna array or the whole of EUT.</w:t>
      </w:r>
    </w:p>
    <w:p>
      <w:pPr>
        <w:pStyle w:val="82"/>
        <w:rPr>
          <w:lang w:val="en-US" w:eastAsia="zh-CN"/>
        </w:rPr>
      </w:pPr>
      <w:r>
        <w:rPr>
          <w:lang w:val="en-US" w:eastAsia="zh-CN"/>
        </w:rPr>
        <w:drawing>
          <wp:inline distT="0" distB="0" distL="0" distR="0">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477895" cy="3541395"/>
                    </a:xfrm>
                    <a:prstGeom prst="rect">
                      <a:avLst/>
                    </a:prstGeom>
                    <a:noFill/>
                    <a:ln>
                      <a:noFill/>
                    </a:ln>
                  </pic:spPr>
                </pic:pic>
              </a:graphicData>
            </a:graphic>
          </wp:inline>
        </w:drawing>
      </w:r>
    </w:p>
    <w:p>
      <w:pPr>
        <w:pStyle w:val="89"/>
        <w:rPr>
          <w:lang w:val="en-US" w:eastAsia="en-GB"/>
        </w:rPr>
      </w:pPr>
      <w:r>
        <w:rPr>
          <w:lang w:val="en-US" w:eastAsia="en-GB"/>
        </w:rPr>
        <w:t xml:space="preserve">Figure </w:t>
      </w:r>
      <w:r>
        <w:rPr>
          <w:lang w:eastAsia="en-GB"/>
        </w:rPr>
        <w:t>I2</w:t>
      </w:r>
      <w:r>
        <w:rPr>
          <w:lang w:val="en-US" w:eastAsia="en-GB"/>
        </w:rPr>
        <w:t>.</w:t>
      </w:r>
      <w:r>
        <w:rPr>
          <w:lang w:eastAsia="en-GB"/>
        </w:rPr>
        <w:t>2</w:t>
      </w:r>
      <w:r>
        <w:rPr>
          <w:lang w:val="en-US" w:eastAsia="en-GB"/>
        </w:rPr>
        <w:t xml:space="preserve">-1: </w:t>
      </w:r>
      <w:r>
        <w:rPr>
          <w:lang w:val="en-US"/>
        </w:rPr>
        <w:t>Dimensions of a radiation source: depth (d), width (w) and height (h)</w:t>
      </w:r>
    </w:p>
    <w:p>
      <w:pPr>
        <w:rPr>
          <w:lang w:val="en-US" w:eastAsia="en-GB"/>
        </w:rPr>
      </w:pPr>
      <w:r>
        <w:rPr>
          <w:lang w:val="en-US" w:eastAsia="zh-CN"/>
        </w:rPr>
        <w:t xml:space="preserve">Optionally, in the case of Uniform Linear Array (ULA), when d is negligible (d </w:t>
      </w:r>
      <m:oMath>
        <m:r>
          <w:rPr>
            <w:rFonts w:ascii="Cambria Math" w:hAnsi="Cambria Math"/>
            <w:lang w:val="en-US" w:eastAsia="zh-CN"/>
          </w:rPr>
          <m:t>≈0</m:t>
        </m:r>
      </m:oMath>
      <w:r>
        <w:rPr>
          <w:lang w:val="en-US" w:eastAsia="zh-CN"/>
        </w:rPr>
        <w:t xml:space="preserve">) and the </w:t>
      </w:r>
      <w:r>
        <w:rPr>
          <w:rFonts w:hint="eastAsia"/>
          <w:lang w:val="en-US" w:eastAsia="zh-CN"/>
        </w:rPr>
        <w:t>EUT is mounted along the yz plane as shown in figure I2.2-</w:t>
      </w:r>
      <w:r>
        <w:rPr>
          <w:lang w:val="en-US" w:eastAsia="zh-CN"/>
        </w:rPr>
        <w:t>2</w:t>
      </w:r>
      <w:r>
        <w:rPr>
          <w:rFonts w:hint="eastAsia"/>
          <w:lang w:val="en-US" w:eastAsia="zh-CN"/>
        </w:rPr>
        <w:t>,</w:t>
      </w:r>
      <w:r>
        <w:rPr>
          <w:lang w:val="en-US" w:eastAsia="zh-CN"/>
        </w:rPr>
        <w:t xml:space="preserve"> </w:t>
      </w:r>
      <w:r>
        <w:rPr>
          <w:rFonts w:hint="eastAsia"/>
          <w:lang w:val="en-US" w:eastAsia="zh-CN"/>
        </w:rPr>
        <w:t xml:space="preserve">the reference </w:t>
      </w:r>
      <w:r>
        <w:rPr>
          <w:lang w:val="en-US" w:eastAsia="zh-CN"/>
        </w:rPr>
        <w:t xml:space="preserve">angular </w:t>
      </w:r>
      <w:r>
        <w:rPr>
          <w:rFonts w:hint="eastAsia"/>
          <w:lang w:val="en-US" w:eastAsia="zh-CN"/>
        </w:rPr>
        <w:t>step</w:t>
      </w:r>
      <w:r>
        <w:rPr>
          <w:lang w:val="en-US" w:eastAsia="zh-CN"/>
        </w:rPr>
        <w:t>s, in degrees,</w:t>
      </w:r>
      <w:r>
        <w:rPr>
          <w:rFonts w:hint="eastAsia"/>
          <w:lang w:val="en-US" w:eastAsia="zh-CN"/>
        </w:rPr>
        <w:t xml:space="preserve"> can be determined by</w:t>
      </w:r>
    </w:p>
    <w:p>
      <w:pPr>
        <w:pStyle w:val="64"/>
        <w:rPr>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ctrlPr>
              <w:rPr>
                <w:rFonts w:ascii="Cambria Math" w:hAnsi="Cambria Math"/>
                <w:lang w:val="en-US" w:eastAsia="zh-CN"/>
              </w:rPr>
            </m:ctrlPr>
          </m:e>
          <m:sub>
            <m: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ctrlPr>
              <w:rPr>
                <w:rFonts w:ascii="Cambria Math" w:hAnsi="Cambria Math"/>
                <w:lang w:val="en-US" w:eastAsia="zh-CN"/>
              </w:rPr>
            </m:ctrlPr>
          </m:e>
          <m:sub>
            <m:r>
              <w:rPr>
                <w:rFonts w:ascii="Cambria Math" w:hAnsi="Cambria Math"/>
                <w:lang w:val="en-US" w:eastAsia="zh-CN"/>
              </w:rPr>
              <m:t>z</m:t>
            </m:r>
            <m:ctrlPr>
              <w:rPr>
                <w:rFonts w:ascii="Cambria Math" w:hAnsi="Cambria Math"/>
                <w:lang w:val="en-US" w:eastAsia="zh-CN"/>
              </w:rPr>
            </m:ctrlPr>
          </m:sub>
        </m:sSub>
        <m:r>
          <m:rPr>
            <m:sty m:val="p"/>
          </m:rPr>
          <w:rPr>
            <w:rFonts w:ascii="Cambria Math" w:hAnsi="Cambria Math"/>
            <w:lang w:val="en-US" w:eastAsia="zh-CN"/>
          </w:rPr>
          <m:t>)</m:t>
        </m:r>
      </m:oMath>
    </w:p>
    <w:p>
      <w:pPr>
        <w:pStyle w:val="64"/>
        <w:rPr>
          <w:position w:val="-24"/>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ctrlPr>
              <w:rPr>
                <w:rFonts w:ascii="Cambria Math" w:hAnsi="Cambria Math"/>
                <w:lang w:val="en-US" w:eastAsia="zh-CN"/>
              </w:rPr>
            </m:ctrlPr>
          </m:e>
          <m:sub>
            <m: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w:rPr>
                    <w:rFonts w:ascii="Cambria Math" w:hAnsi="Cambria Math"/>
                    <w:lang w:val="en-US" w:eastAsia="zh-CN"/>
                  </w:rPr>
                  <m:t>D</m:t>
                </m:r>
                <m:ctrlPr>
                  <w:rPr>
                    <w:rFonts w:ascii="Cambria Math" w:hAnsi="Cambria Math"/>
                    <w:lang w:val="en-US" w:eastAsia="zh-CN"/>
                  </w:rPr>
                </m:ctrlPr>
              </m:e>
              <m:sub>
                <m:r>
                  <w:rPr>
                    <w:rFonts w:ascii="Cambria Math" w:hAnsi="Cambria Math"/>
                    <w:lang w:val="en-US" w:eastAsia="zh-CN"/>
                  </w:rPr>
                  <m:t>y</m:t>
                </m:r>
                <m:ctrlPr>
                  <w:rPr>
                    <w:rFonts w:ascii="Cambria Math" w:hAnsi="Cambria Math"/>
                    <w:lang w:val="en-US" w:eastAsia="zh-CN"/>
                  </w:rPr>
                </m:ctrlPr>
              </m:sub>
            </m:sSub>
            <m:ctrlPr>
              <w:rPr>
                <w:rFonts w:ascii="Cambria Math" w:hAnsi="Cambria Math"/>
                <w:lang w:val="en-US" w:eastAsia="zh-CN"/>
              </w:rPr>
            </m:ctrlPr>
          </m:den>
        </m:f>
        <m:r>
          <m:rPr>
            <m:sty m:val="p"/>
          </m:rPr>
          <w:rPr>
            <w:rFonts w:ascii="Cambria Math" w:hAnsi="Cambria Math"/>
            <w:lang w:val="en-US" w:eastAsia="zh-CN"/>
          </w:rPr>
          <m:t>)</m:t>
        </m:r>
      </m:oMath>
    </w:p>
    <w:p>
      <w:pPr>
        <w:jc w:val="both"/>
        <w:textAlignment w:val="center"/>
        <w:rPr>
          <w:lang w:val="en-US" w:eastAsia="zh-CN"/>
        </w:rPr>
      </w:pPr>
      <w:r>
        <w:rPr>
          <w:rFonts w:hint="eastAsia"/>
          <w:lang w:val="en-US" w:eastAsia="zh-CN"/>
        </w:rPr>
        <w:t>Where D</w:t>
      </w:r>
      <w:r>
        <w:rPr>
          <w:rFonts w:hint="eastAsia"/>
          <w:vertAlign w:val="subscript"/>
          <w:lang w:val="en-US" w:eastAsia="zh-CN"/>
        </w:rPr>
        <w:t>y</w:t>
      </w:r>
      <w:r>
        <w:rPr>
          <w:rFonts w:hint="eastAsia"/>
          <w:lang w:val="en-US" w:eastAsia="zh-CN"/>
        </w:rPr>
        <w:t xml:space="preserve"> is the length of radiating parts of EUT along y-axis, D</w:t>
      </w:r>
      <w:r>
        <w:rPr>
          <w:rFonts w:hint="eastAsia"/>
          <w:vertAlign w:val="subscript"/>
          <w:lang w:val="en-US" w:eastAsia="zh-CN"/>
        </w:rPr>
        <w:t>z</w:t>
      </w:r>
      <w:r>
        <w:rPr>
          <w:rFonts w:hint="eastAsia"/>
          <w:lang w:val="en-US" w:eastAsia="zh-CN"/>
        </w:rPr>
        <w:t xml:space="preserve"> is the length of radiating parts of EUT</w:t>
      </w:r>
      <w:r>
        <w:rPr>
          <w:lang w:val="en-US" w:eastAsia="zh-CN"/>
        </w:rPr>
        <w:t xml:space="preserve"> </w:t>
      </w:r>
      <w:r>
        <w:rPr>
          <w:rFonts w:hint="eastAsia"/>
          <w:lang w:val="en-US" w:eastAsia="zh-CN"/>
        </w:rPr>
        <w:t xml:space="preserve">along the z-axis and </w:t>
      </w:r>
      <w:r>
        <w:rPr>
          <w:rFonts w:hint="eastAsia"/>
          <w:lang w:val="en-US" w:eastAsia="zh-CN"/>
        </w:rPr>
        <w:object>
          <v:shape id="_x0000_i1025" o:spt="75" type="#_x0000_t75" style="height:14.5pt;width:14.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lang w:val="en-US" w:eastAsia="zh-CN"/>
        </w:rPr>
        <w:t xml:space="preserve"> is wavelength for the measured frequency.</w:t>
      </w:r>
    </w:p>
    <w:p>
      <w:pPr>
        <w:pStyle w:val="82"/>
        <w:rPr>
          <w:lang w:val="en-US" w:eastAsia="zh-CN"/>
        </w:rPr>
      </w:pPr>
      <w:r>
        <w:rPr>
          <w:lang w:val="en-US" w:eastAsia="zh-CN"/>
        </w:rPr>
        <w:drawing>
          <wp:inline distT="0" distB="0" distL="0" distR="0">
            <wp:extent cx="2879725" cy="2879725"/>
            <wp:effectExtent l="0" t="0" r="15875" b="15875"/>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9" descr="Fig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79725" cy="2879725"/>
                    </a:xfrm>
                    <a:prstGeom prst="rect">
                      <a:avLst/>
                    </a:prstGeom>
                    <a:noFill/>
                    <a:ln>
                      <a:noFill/>
                    </a:ln>
                  </pic:spPr>
                </pic:pic>
              </a:graphicData>
            </a:graphic>
          </wp:inline>
        </w:drawing>
      </w:r>
    </w:p>
    <w:p>
      <w:pPr>
        <w:pStyle w:val="89"/>
        <w:rPr>
          <w:lang w:val="en-US" w:eastAsia="en-GB"/>
        </w:rPr>
      </w:pPr>
      <w:r>
        <w:rPr>
          <w:lang w:val="en-US" w:eastAsia="en-GB"/>
        </w:rPr>
        <w:t xml:space="preserve">Figure </w:t>
      </w:r>
      <w:r>
        <w:rPr>
          <w:rFonts w:hint="eastAsia"/>
          <w:lang w:val="en-US" w:eastAsia="zh-CN"/>
        </w:rPr>
        <w:t>I2.2-</w:t>
      </w:r>
      <w:r>
        <w:rPr>
          <w:lang w:val="en-US" w:eastAsia="zh-CN"/>
        </w:rPr>
        <w:t>2:</w:t>
      </w:r>
      <w:r>
        <w:rPr>
          <w:lang w:val="en-US" w:eastAsia="en-GB"/>
        </w:rPr>
        <w:t xml:space="preserve"> Spherical coordinate for OTA conformance testing of EUT</w:t>
      </w:r>
    </w:p>
    <w:p>
      <w:pPr>
        <w:rPr>
          <w:rFonts w:ascii="Cambria Math" w:hAnsi="Cambria Math"/>
          <w:i/>
          <w:lang w:val="en-US"/>
        </w:rPr>
      </w:pPr>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w:t>
      </w:r>
      <w:r>
        <w:rPr>
          <w:rFonts w:eastAsia="MS Mincho"/>
          <w:lang w:eastAsia="ja-JP"/>
        </w:rPr>
        <w:t xml:space="preserve">sparsity </w:t>
      </w:r>
      <w:r>
        <w:rPr>
          <w:rFonts w:hint="eastAsia"/>
          <w:lang w:val="en-US" w:eastAsia="zh-CN"/>
        </w:rPr>
        <w:t>factor)</w:t>
      </w:r>
      <w:r>
        <w:rPr>
          <w:lang w:val="en-US" w:eastAsia="zh-CN"/>
        </w:rPr>
        <w:t xml:space="preserve"> </w:t>
      </w:r>
      <w:r>
        <w:rPr>
          <w:rFonts w:eastAsia="MS Mincho"/>
          <w:lang w:eastAsia="ja-JP"/>
        </w:rPr>
        <w:t>of the grid is defined as</w:t>
      </w:r>
    </w:p>
    <w:p>
      <w:pPr>
        <w:pStyle w:val="64"/>
        <w:rPr>
          <w:lang w:val="en-US"/>
        </w:rPr>
      </w:pPr>
      <w:r>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ctrlPr>
                          <w:rPr>
                            <w:rFonts w:ascii="Cambria Math" w:hAnsi="Cambria Math"/>
                            <w:lang w:eastAsia="zh-CN"/>
                          </w:rPr>
                        </m:ctrlPr>
                      </m:e>
                      <m:sub>
                        <m: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ctrlPr>
                          <w:rPr>
                            <w:rFonts w:ascii="Cambria Math" w:hAnsi="Cambria Math"/>
                            <w:lang w:eastAsia="zh-CN"/>
                          </w:rPr>
                        </m:ctrlPr>
                      </m:e>
                      <m:sub>
                        <m: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ctrlPr>
                          <w:rPr>
                            <w:rFonts w:ascii="Cambria Math" w:hAnsi="Cambria Math"/>
                            <w:lang w:eastAsia="zh-CN"/>
                          </w:rPr>
                        </m:ctrlPr>
                      </m:e>
                      <m:sub>
                        <m: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sSub>
                      <m:sSubPr>
                        <m:ctrlPr>
                          <w:rPr>
                            <w:rFonts w:ascii="Cambria Math" w:hAnsi="Cambria Math"/>
                            <w:lang w:eastAsia="zh-CN"/>
                          </w:rPr>
                        </m:ctrlPr>
                      </m:sSubPr>
                      <m:e>
                        <m:r>
                          <w:rPr>
                            <w:rFonts w:ascii="Cambria Math" w:hAnsi="Cambria Math"/>
                            <w:lang w:eastAsia="zh-CN"/>
                          </w:rPr>
                          <m:t>Δϕ</m:t>
                        </m:r>
                        <m:ctrlPr>
                          <w:rPr>
                            <w:rFonts w:ascii="Cambria Math" w:hAnsi="Cambria Math"/>
                            <w:lang w:eastAsia="zh-CN"/>
                          </w:rPr>
                        </m:ctrlPr>
                      </m:e>
                      <m:sub>
                        <m: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ctrlPr>
                  <w:rPr>
                    <w:rFonts w:ascii="Cambria Math" w:hAnsi="Cambria Math"/>
                    <w:lang w:eastAsia="zh-CN"/>
                  </w:rPr>
                </m:ctrlPr>
              </m:e>
            </m:d>
            <m:ctrlPr>
              <w:rPr>
                <w:rFonts w:ascii="Cambria Math" w:hAnsi="Cambria Math"/>
                <w:lang w:eastAsia="zh-CN"/>
              </w:rPr>
            </m:ctrlPr>
          </m:e>
        </m:func>
      </m:oMath>
    </w:p>
    <w:p>
      <w:pPr>
        <w:rPr>
          <w:rFonts w:eastAsia="MS Mincho"/>
          <w:lang w:val="en-US"/>
        </w:rPr>
      </w:pPr>
      <w:r>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r>
          <w:rPr>
            <w:rFonts w:ascii="Cambria Math" w:hAnsi="Cambria Math"/>
            <w:lang w:eastAsia="zh-CN"/>
          </w:rPr>
          <m:t xml:space="preserve"> </m:t>
        </m:r>
      </m:oMath>
      <w:r>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oMath>
      <w:r>
        <w:rPr>
          <w:rFonts w:eastAsia="MS Mincho"/>
          <w:lang w:val="en-US"/>
        </w:rPr>
        <w:t xml:space="preserve"> are the actual angular steps used in the measurement.</w:t>
      </w:r>
    </w:p>
    <w:p>
      <w:pPr>
        <w:rPr>
          <w:rFonts w:eastAsia="MS Mincho"/>
          <w:lang w:val="en-US"/>
        </w:rPr>
      </w:pPr>
      <w:r>
        <w:rPr>
          <w:rFonts w:eastAsia="MS Mincho"/>
          <w:lang w:val="en-US"/>
        </w:rPr>
        <w:t xml:space="preserve">Alternatively, when EUT radiating dimensions are not known, for each frequency within the </w:t>
      </w:r>
      <w:r>
        <w:rPr>
          <w:rFonts w:eastAsia="MS Mincho"/>
          <w:i/>
          <w:lang w:val="en-US"/>
        </w:rPr>
        <w:t>downlink operating band</w:t>
      </w:r>
      <w:r>
        <w:rPr>
          <w:rFonts w:eastAsia="MS Mincho"/>
          <w:lang w:val="en-US"/>
        </w:rPr>
        <w:t xml:space="preserve"> including </w:t>
      </w:r>
      <w:r>
        <w:t>Δf</w:t>
      </w:r>
      <w:r>
        <w:rPr>
          <w:vertAlign w:val="subscript"/>
        </w:rPr>
        <w:t>OBUE</w:t>
      </w:r>
      <w:r>
        <w:rPr>
          <w:rFonts w:eastAsia="MS Mincho"/>
          <w:lang w:val="en-US"/>
        </w:rPr>
        <w:t xml:space="preserve">, the reference angular steps can be specified in terms of the </w:t>
      </w:r>
      <w:r>
        <w:rPr>
          <w:rFonts w:eastAsia="MS Mincho"/>
          <w:i/>
          <w:lang w:val="en-US"/>
        </w:rPr>
        <w:t>beamwidth</w:t>
      </w:r>
      <w:r>
        <w:rPr>
          <w:rFonts w:eastAsia="MS Mincho"/>
          <w:lang w:val="en-US"/>
        </w:rPr>
        <w:t xml:space="preserve"> of the wanted signal as</w:t>
      </w:r>
    </w:p>
    <w:p>
      <w:pPr>
        <w:pStyle w:val="64"/>
      </w:pPr>
      <w:r>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w:rPr>
                <w:rFonts w:ascii="Cambria Math" w:hAnsi="Cambria Math"/>
              </w:rPr>
              <m:t>λ</m:t>
            </m:r>
            <m:ctrlPr>
              <w:rPr>
                <w:rFonts w:ascii="Cambria Math" w:hAnsi="Cambria Math"/>
              </w:rPr>
            </m:ctrlPr>
          </m:num>
          <m:den>
            <m:sSub>
              <m:sSubPr>
                <m:ctrlPr>
                  <w:rPr>
                    <w:rFonts w:ascii="Cambria Math" w:hAnsi="Cambria Math"/>
                  </w:rPr>
                </m:ctrlPr>
              </m:sSubPr>
              <m:e>
                <m:r>
                  <w:rPr>
                    <w:rFonts w:ascii="Cambria Math" w:hAnsi="Cambria Math"/>
                  </w:rPr>
                  <m:t>λ</m:t>
                </m:r>
                <m:ctrlPr>
                  <w:rPr>
                    <w:rFonts w:ascii="Cambria Math" w:hAnsi="Cambria Math"/>
                  </w:rPr>
                </m:ctrlPr>
              </m:e>
              <m:sub>
                <m: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ctrlPr>
              <w:rPr>
                <w:rFonts w:ascii="Cambria Math" w:hAnsi="Cambria Math"/>
              </w:rPr>
            </m:ctrlPr>
          </m:e>
          <m:sub>
            <m:r>
              <w:rPr>
                <w:rFonts w:ascii="Cambria Math" w:hAnsi="Cambria Math"/>
              </w:rPr>
              <m:t>ϕ</m:t>
            </m:r>
            <m:ctrlPr>
              <w:rPr>
                <w:rFonts w:ascii="Cambria Math" w:hAnsi="Cambria Math"/>
              </w:rPr>
            </m:ctrlPr>
          </m:sub>
        </m:sSub>
      </m:oMath>
    </w:p>
    <w:p>
      <w:pPr>
        <w:pStyle w:val="64"/>
      </w:pPr>
      <w:r>
        <w:tab/>
      </w:r>
      <m:oMath>
        <m:r>
          <m:rPr>
            <m:sty m:val="p"/>
          </m:rPr>
          <w:rPr>
            <w:rFonts w:ascii="Cambria Math" w:hAnsi="Cambria Math"/>
          </w:rPr>
          <m:t>Δ</m:t>
        </m:r>
        <m:sSub>
          <m:sSubPr>
            <m:ctrlPr>
              <w:rPr>
                <w:rFonts w:ascii="Cambria Math" w:hAnsi="Cambria Math"/>
              </w:rPr>
            </m:ctrlPr>
          </m:sSubPr>
          <m:e>
            <m:r>
              <w:rPr>
                <w:rFonts w:ascii="Cambria Math" w:hAnsi="Cambria Math"/>
              </w:rPr>
              <m:t>θ</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w:rPr>
                <w:rFonts w:ascii="Cambria Math" w:hAnsi="Cambria Math"/>
              </w:rPr>
              <m:t>λ</m:t>
            </m:r>
            <m:ctrlPr>
              <w:rPr>
                <w:rFonts w:ascii="Cambria Math" w:hAnsi="Cambria Math"/>
              </w:rPr>
            </m:ctrlPr>
          </m:num>
          <m:den>
            <m:sSub>
              <m:sSubPr>
                <m:ctrlPr>
                  <w:rPr>
                    <w:rFonts w:ascii="Cambria Math" w:hAnsi="Cambria Math"/>
                  </w:rPr>
                </m:ctrlPr>
              </m:sSubPr>
              <m:e>
                <m:r>
                  <w:rPr>
                    <w:rFonts w:ascii="Cambria Math" w:hAnsi="Cambria Math"/>
                  </w:rPr>
                  <m:t>λ</m:t>
                </m:r>
                <m:ctrlPr>
                  <w:rPr>
                    <w:rFonts w:ascii="Cambria Math" w:hAnsi="Cambria Math"/>
                  </w:rPr>
                </m:ctrlPr>
              </m:e>
              <m:sub>
                <m: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ctrlPr>
              <w:rPr>
                <w:rFonts w:ascii="Cambria Math" w:hAnsi="Cambria Math"/>
              </w:rPr>
            </m:ctrlPr>
          </m:e>
          <m:sub>
            <m:r>
              <w:rPr>
                <w:rFonts w:ascii="Cambria Math" w:hAnsi="Cambria Math"/>
              </w:rPr>
              <m:t>θ</m:t>
            </m:r>
            <m:ctrlPr>
              <w:rPr>
                <w:rFonts w:ascii="Cambria Math" w:hAnsi="Cambria Math"/>
              </w:rPr>
            </m:ctrlPr>
          </m:sub>
        </m:sSub>
      </m:oMath>
    </w:p>
    <w:p>
      <w:pPr>
        <w:rPr>
          <w:lang w:val="en-US" w:eastAsia="zh-CN"/>
        </w:rPr>
      </w:pPr>
      <w:r>
        <w:rPr>
          <w:rFonts w:eastAsia="MS Mincho"/>
          <w:lang w:val="en-US"/>
        </w:rPr>
        <w:t xml:space="preserve">where </w:t>
      </w:r>
      <w:r>
        <w:t>λ</w:t>
      </w:r>
      <w:r>
        <w:rPr>
          <w:vertAlign w:val="subscript"/>
        </w:rPr>
        <w:t>o</w:t>
      </w:r>
      <w:r>
        <w:t xml:space="preserve"> is the wavelength of the wanted signal, and BeW</w:t>
      </w:r>
      <w:r>
        <w:rPr>
          <w:rFonts w:ascii="Calibri" w:hAnsi="Calibri"/>
          <w:vertAlign w:val="subscript"/>
          <w:lang w:val="en-US" w:eastAsia="zh-CN"/>
        </w:rPr>
        <w:t>φ</w:t>
      </w:r>
      <w:r>
        <w:t xml:space="preserve"> and BeW</w:t>
      </w:r>
      <w:r>
        <w:rPr>
          <w:rFonts w:ascii="Calibri" w:hAnsi="Calibri"/>
          <w:vertAlign w:val="subscript"/>
          <w:lang w:val="en-US" w:eastAsia="zh-CN"/>
        </w:rPr>
        <w:t>θ</w:t>
      </w:r>
      <w:r>
        <w:t xml:space="preserve"> are the </w:t>
      </w:r>
      <w:r>
        <w:rPr>
          <w:i/>
        </w:rPr>
        <w:t>beamwidth</w:t>
      </w:r>
      <w:r>
        <w:t xml:space="preserve"> of the wanted signal in the</w:t>
      </w:r>
      <w:r>
        <w:rPr>
          <w:rFonts w:ascii="Calibri" w:hAnsi="Calibri"/>
          <w:lang w:val="en-US" w:eastAsia="zh-CN"/>
        </w:rPr>
        <w:t xml:space="preserve"> φ</w:t>
      </w:r>
      <w:r>
        <w:rPr>
          <w:lang w:val="en-US" w:eastAsia="zh-CN"/>
        </w:rPr>
        <w:t>-axis and</w:t>
      </w:r>
      <w:r>
        <w:t xml:space="preserve"> </w:t>
      </w:r>
      <w:r>
        <w:rPr>
          <w:rFonts w:ascii="Calibri" w:hAnsi="Calibri"/>
          <w:lang w:val="en-US" w:eastAsia="zh-CN"/>
        </w:rPr>
        <w:t>θ</w:t>
      </w:r>
      <w:r>
        <w:rPr>
          <w:lang w:val="en-US" w:eastAsia="zh-CN"/>
        </w:rPr>
        <w:t>-axis, respectively.</w:t>
      </w:r>
    </w:p>
    <w:p>
      <w:pPr>
        <w:rPr>
          <w:lang w:eastAsia="zh-CN"/>
        </w:rPr>
      </w:pPr>
      <w:r>
        <w:t>BeW</w:t>
      </w:r>
      <w:r>
        <w:rPr>
          <w:rFonts w:ascii="Calibri" w:hAnsi="Calibri"/>
          <w:vertAlign w:val="subscript"/>
          <w:lang w:val="en-US" w:eastAsia="zh-CN"/>
        </w:rPr>
        <w:t>φ</w:t>
      </w:r>
      <w:r>
        <w:t xml:space="preserve"> and BeW</w:t>
      </w:r>
      <w:r>
        <w:rPr>
          <w:rFonts w:ascii="Calibri" w:hAnsi="Calibri"/>
          <w:vertAlign w:val="subscript"/>
          <w:lang w:val="en-US" w:eastAsia="zh-CN"/>
        </w:rPr>
        <w:t>θ</w:t>
      </w:r>
      <w:r>
        <w:rPr>
          <w:lang w:val="en-US" w:eastAsia="zh-CN"/>
        </w:rPr>
        <w:t xml:space="preserve"> may be set to </w:t>
      </w:r>
      <w:r>
        <w:rPr>
          <w:i/>
          <w:lang w:val="en-US" w:eastAsia="zh-CN"/>
        </w:rPr>
        <w:t>beamwidth</w:t>
      </w:r>
      <w:r>
        <w:rPr>
          <w:lang w:val="en-US" w:eastAsia="zh-CN"/>
        </w:rPr>
        <w:t xml:space="preserve"> declared for the OTA BS radiated transmit power requirement provided the same </w:t>
      </w:r>
      <w:r>
        <w:rPr>
          <w:i/>
          <w:lang w:val="en-US" w:eastAsia="zh-CN"/>
        </w:rPr>
        <w:t>beam</w:t>
      </w:r>
      <w:r>
        <w:rPr>
          <w:lang w:val="en-US" w:eastAsia="zh-CN"/>
        </w:rPr>
        <w:t xml:space="preserve"> is applied to test in-band TRP requirements.</w:t>
      </w:r>
    </w:p>
    <w:p>
      <w:pPr>
        <w:pStyle w:val="69"/>
        <w:rPr>
          <w:sz w:val="21"/>
          <w:szCs w:val="21"/>
          <w:lang w:val="en-US" w:eastAsia="en-GB"/>
        </w:rPr>
      </w:pPr>
      <w:r>
        <w:t>NOTE:</w:t>
      </w:r>
      <w:r>
        <w:tab/>
      </w:r>
      <w:r>
        <w:rPr>
          <w:i/>
        </w:rPr>
        <w:t>Beamwidth</w:t>
      </w:r>
      <w:r>
        <w:t xml:space="preserve"> is approximately equal to half the first-null beam width.</w:t>
      </w:r>
    </w:p>
    <w:p>
      <w:pPr>
        <w:rPr>
          <w:rFonts w:hint="eastAsia"/>
          <w:lang w:val="en-US" w:eastAsia="zh-CN"/>
        </w:rPr>
      </w:pPr>
    </w:p>
    <w:p>
      <w:pPr>
        <w:pStyle w:val="4"/>
        <w:ind w:left="0" w:firstLine="0"/>
      </w:pPr>
      <w:r>
        <w:rPr>
          <w:rFonts w:hint="eastAsia" w:eastAsia="宋体"/>
          <w:color w:val="FF0000"/>
          <w:lang w:val="en-US" w:eastAsia="zh-CN"/>
        </w:rPr>
        <w:t xml:space="preserve">&lt; </w:t>
      </w:r>
      <w:r>
        <w:rPr>
          <w:rFonts w:hint="eastAsia" w:eastAsia="宋体"/>
          <w:b/>
          <w:bCs/>
          <w:color w:val="FF0000"/>
          <w:szCs w:val="22"/>
          <w:lang w:val="en-US" w:eastAsia="zh-CN"/>
        </w:rPr>
        <w:t>End of</w:t>
      </w:r>
      <w:r>
        <w:rPr>
          <w:rFonts w:hint="eastAsia" w:eastAsia="宋体"/>
          <w:b/>
          <w:bCs/>
          <w:color w:val="FF0000"/>
          <w:lang w:val="en-US" w:eastAsia="zh-CN"/>
        </w:rPr>
        <w:t xml:space="preserve"> CR</w:t>
      </w:r>
      <w:r>
        <w:rPr>
          <w:rFonts w:hint="eastAsia" w:eastAsia="宋体"/>
          <w:color w:val="FF0000"/>
          <w:lang w:val="en-US" w:eastAsia="zh-CN"/>
        </w:rPr>
        <w:t>&gt;</w:t>
      </w:r>
    </w:p>
    <w:p>
      <w:pPr>
        <w:spacing w:after="0"/>
      </w:pPr>
    </w:p>
    <w:sectPr>
      <w:head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10002FF" w:usb1="4000ACFF" w:usb2="00000009"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auto"/>
    <w:pitch w:val="default"/>
    <w:sig w:usb0="A00002FF" w:usb1="28CFFCFA" w:usb2="00000016" w:usb3="00000000" w:csb0="00100001" w:csb1="00000000"/>
  </w:font>
  <w:font w:name="DengXian">
    <w:altName w:val="宋体"/>
    <w:panose1 w:val="00000000000000000000"/>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y="7"/>
      <w:rPr>
        <w:rFonts w:ascii="Arial" w:hAnsi="Arial" w:cs="Arial"/>
        <w:b/>
        <w:sz w:val="18"/>
        <w:szCs w:val="18"/>
      </w:rPr>
    </w:pPr>
  </w:p>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708858F6"/>
    <w:lvl w:ilvl="0" w:tentative="0">
      <w:start w:val="0"/>
      <w:numFmt w:val="bullet"/>
      <w:pStyle w:val="12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rson w15:author="10164287">
    <w15:presenceInfo w15:providerId="None" w15:userId="10164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655A6"/>
    <w:rsid w:val="000675FF"/>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5EB9"/>
    <w:rsid w:val="00112A1C"/>
    <w:rsid w:val="0011346D"/>
    <w:rsid w:val="00115B6D"/>
    <w:rsid w:val="0011777F"/>
    <w:rsid w:val="00120F33"/>
    <w:rsid w:val="0012312F"/>
    <w:rsid w:val="00136618"/>
    <w:rsid w:val="00136CA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EC7"/>
    <w:rsid w:val="001735EB"/>
    <w:rsid w:val="00174CDD"/>
    <w:rsid w:val="0017525C"/>
    <w:rsid w:val="00176260"/>
    <w:rsid w:val="001769D4"/>
    <w:rsid w:val="00176DE2"/>
    <w:rsid w:val="00177871"/>
    <w:rsid w:val="00181D8D"/>
    <w:rsid w:val="00196988"/>
    <w:rsid w:val="001A02D2"/>
    <w:rsid w:val="001A2E00"/>
    <w:rsid w:val="001A5728"/>
    <w:rsid w:val="001A7DA7"/>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34C"/>
    <w:rsid w:val="00206C6D"/>
    <w:rsid w:val="00207A07"/>
    <w:rsid w:val="00210C52"/>
    <w:rsid w:val="00212DDA"/>
    <w:rsid w:val="00215874"/>
    <w:rsid w:val="00216F56"/>
    <w:rsid w:val="00217327"/>
    <w:rsid w:val="00222C0E"/>
    <w:rsid w:val="00225646"/>
    <w:rsid w:val="00225EEF"/>
    <w:rsid w:val="002308F8"/>
    <w:rsid w:val="002347A2"/>
    <w:rsid w:val="002357C2"/>
    <w:rsid w:val="0024014F"/>
    <w:rsid w:val="002401DA"/>
    <w:rsid w:val="00240DA8"/>
    <w:rsid w:val="00241C36"/>
    <w:rsid w:val="002421F5"/>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06E3"/>
    <w:rsid w:val="002D36DF"/>
    <w:rsid w:val="002D5122"/>
    <w:rsid w:val="002D6AAF"/>
    <w:rsid w:val="002E2260"/>
    <w:rsid w:val="002E2643"/>
    <w:rsid w:val="002E2E09"/>
    <w:rsid w:val="002F0BE4"/>
    <w:rsid w:val="002F108B"/>
    <w:rsid w:val="002F11D5"/>
    <w:rsid w:val="002F1660"/>
    <w:rsid w:val="002F2CA6"/>
    <w:rsid w:val="002F3E23"/>
    <w:rsid w:val="002F413D"/>
    <w:rsid w:val="003008A4"/>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0811"/>
    <w:rsid w:val="004744FB"/>
    <w:rsid w:val="0047483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7937"/>
    <w:rsid w:val="0051508F"/>
    <w:rsid w:val="00516743"/>
    <w:rsid w:val="0051799E"/>
    <w:rsid w:val="00517CC3"/>
    <w:rsid w:val="00522009"/>
    <w:rsid w:val="00523C31"/>
    <w:rsid w:val="0052418B"/>
    <w:rsid w:val="005245F1"/>
    <w:rsid w:val="0052783F"/>
    <w:rsid w:val="005309AD"/>
    <w:rsid w:val="0053175F"/>
    <w:rsid w:val="00532BEB"/>
    <w:rsid w:val="005352B9"/>
    <w:rsid w:val="00540035"/>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97A0E"/>
    <w:rsid w:val="005A2917"/>
    <w:rsid w:val="005A37F6"/>
    <w:rsid w:val="005A67E2"/>
    <w:rsid w:val="005A67EE"/>
    <w:rsid w:val="005B2828"/>
    <w:rsid w:val="005B39E5"/>
    <w:rsid w:val="005C3885"/>
    <w:rsid w:val="005C6C1A"/>
    <w:rsid w:val="005C75D9"/>
    <w:rsid w:val="005C790C"/>
    <w:rsid w:val="005C7DBC"/>
    <w:rsid w:val="005D2E01"/>
    <w:rsid w:val="005D3026"/>
    <w:rsid w:val="005D3E85"/>
    <w:rsid w:val="005D68EB"/>
    <w:rsid w:val="005F17D1"/>
    <w:rsid w:val="005F190E"/>
    <w:rsid w:val="005F4F93"/>
    <w:rsid w:val="005F7BD2"/>
    <w:rsid w:val="0060070C"/>
    <w:rsid w:val="0060358A"/>
    <w:rsid w:val="00607A83"/>
    <w:rsid w:val="0061157E"/>
    <w:rsid w:val="00613867"/>
    <w:rsid w:val="00614FDF"/>
    <w:rsid w:val="00616A19"/>
    <w:rsid w:val="0062066C"/>
    <w:rsid w:val="0062481F"/>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968"/>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1EDE"/>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308"/>
    <w:rsid w:val="007A753E"/>
    <w:rsid w:val="007B40EE"/>
    <w:rsid w:val="007B5D8D"/>
    <w:rsid w:val="007B6E46"/>
    <w:rsid w:val="007C3FB5"/>
    <w:rsid w:val="007D0607"/>
    <w:rsid w:val="007D2A54"/>
    <w:rsid w:val="007D4B4B"/>
    <w:rsid w:val="007E06F1"/>
    <w:rsid w:val="007E0A7C"/>
    <w:rsid w:val="007E18B5"/>
    <w:rsid w:val="007F25DA"/>
    <w:rsid w:val="007F274A"/>
    <w:rsid w:val="007F4743"/>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48C6"/>
    <w:rsid w:val="00846510"/>
    <w:rsid w:val="00847CB6"/>
    <w:rsid w:val="0085254A"/>
    <w:rsid w:val="008528D5"/>
    <w:rsid w:val="00856C62"/>
    <w:rsid w:val="00856F1E"/>
    <w:rsid w:val="00860B1B"/>
    <w:rsid w:val="00864016"/>
    <w:rsid w:val="00865795"/>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D52A0"/>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62A1"/>
    <w:rsid w:val="00917FE7"/>
    <w:rsid w:val="009207DD"/>
    <w:rsid w:val="009207F0"/>
    <w:rsid w:val="00925785"/>
    <w:rsid w:val="00933E6D"/>
    <w:rsid w:val="0093435C"/>
    <w:rsid w:val="00934CE4"/>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96C2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4163B"/>
    <w:rsid w:val="00A45401"/>
    <w:rsid w:val="00A53724"/>
    <w:rsid w:val="00A5491E"/>
    <w:rsid w:val="00A6002B"/>
    <w:rsid w:val="00A613C0"/>
    <w:rsid w:val="00A64245"/>
    <w:rsid w:val="00A65D04"/>
    <w:rsid w:val="00A665FB"/>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E2A2C"/>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9C"/>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833"/>
    <w:rsid w:val="00BD7C6D"/>
    <w:rsid w:val="00BE1878"/>
    <w:rsid w:val="00BE455C"/>
    <w:rsid w:val="00BE4B1B"/>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4389"/>
    <w:rsid w:val="00CC4612"/>
    <w:rsid w:val="00CD0F4F"/>
    <w:rsid w:val="00CD2348"/>
    <w:rsid w:val="00CD656D"/>
    <w:rsid w:val="00CD7136"/>
    <w:rsid w:val="00CD7AAD"/>
    <w:rsid w:val="00CE56B3"/>
    <w:rsid w:val="00CF29EF"/>
    <w:rsid w:val="00CF7516"/>
    <w:rsid w:val="00CF7D5E"/>
    <w:rsid w:val="00D05C71"/>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4B59"/>
    <w:rsid w:val="00EA7F4B"/>
    <w:rsid w:val="00EB0004"/>
    <w:rsid w:val="00EB1F97"/>
    <w:rsid w:val="00EB38E7"/>
    <w:rsid w:val="00EB6075"/>
    <w:rsid w:val="00EC0F32"/>
    <w:rsid w:val="00EC2500"/>
    <w:rsid w:val="00EC4A25"/>
    <w:rsid w:val="00EC5816"/>
    <w:rsid w:val="00ED2C03"/>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53021"/>
    <w:rsid w:val="00F53FE2"/>
    <w:rsid w:val="00F56409"/>
    <w:rsid w:val="00F61EA2"/>
    <w:rsid w:val="00F62F7A"/>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5C7D"/>
    <w:rsid w:val="00FC678C"/>
    <w:rsid w:val="00FD19B4"/>
    <w:rsid w:val="00FD62BC"/>
    <w:rsid w:val="00FE094E"/>
    <w:rsid w:val="00FE4987"/>
    <w:rsid w:val="00FF132B"/>
    <w:rsid w:val="00FF29E4"/>
    <w:rsid w:val="00FF4238"/>
    <w:rsid w:val="00FF5C0C"/>
    <w:rsid w:val="00FF63C2"/>
    <w:rsid w:val="00FF7123"/>
    <w:rsid w:val="00FF72AE"/>
    <w:rsid w:val="00FF789F"/>
    <w:rsid w:val="01622A75"/>
    <w:rsid w:val="01E337C0"/>
    <w:rsid w:val="02100974"/>
    <w:rsid w:val="06F02EF9"/>
    <w:rsid w:val="06F37507"/>
    <w:rsid w:val="0821250F"/>
    <w:rsid w:val="08422BDB"/>
    <w:rsid w:val="084D7767"/>
    <w:rsid w:val="0C2F63FA"/>
    <w:rsid w:val="109F295E"/>
    <w:rsid w:val="124C0641"/>
    <w:rsid w:val="12C142A8"/>
    <w:rsid w:val="13C114CC"/>
    <w:rsid w:val="143349A4"/>
    <w:rsid w:val="144F2E2A"/>
    <w:rsid w:val="168C0CAC"/>
    <w:rsid w:val="16B52F39"/>
    <w:rsid w:val="16DA483D"/>
    <w:rsid w:val="174A399A"/>
    <w:rsid w:val="179C2D6F"/>
    <w:rsid w:val="1D121554"/>
    <w:rsid w:val="1EA34796"/>
    <w:rsid w:val="1EDE56E3"/>
    <w:rsid w:val="1EFB4939"/>
    <w:rsid w:val="1F345DD9"/>
    <w:rsid w:val="213928ED"/>
    <w:rsid w:val="23501838"/>
    <w:rsid w:val="235801B0"/>
    <w:rsid w:val="237362B9"/>
    <w:rsid w:val="24397134"/>
    <w:rsid w:val="277F050A"/>
    <w:rsid w:val="278D0A8A"/>
    <w:rsid w:val="281D1C32"/>
    <w:rsid w:val="291C5649"/>
    <w:rsid w:val="2A7602F3"/>
    <w:rsid w:val="2BF52CE3"/>
    <w:rsid w:val="2D9438BC"/>
    <w:rsid w:val="2DD16096"/>
    <w:rsid w:val="2DD2383D"/>
    <w:rsid w:val="302246EA"/>
    <w:rsid w:val="339F5B1D"/>
    <w:rsid w:val="35AC7645"/>
    <w:rsid w:val="37DD4B63"/>
    <w:rsid w:val="38154D7C"/>
    <w:rsid w:val="38CD393F"/>
    <w:rsid w:val="3B44264C"/>
    <w:rsid w:val="3BAD3E3D"/>
    <w:rsid w:val="3BE15317"/>
    <w:rsid w:val="3CE25633"/>
    <w:rsid w:val="3DC515D7"/>
    <w:rsid w:val="3F651274"/>
    <w:rsid w:val="410E24CA"/>
    <w:rsid w:val="426A3C17"/>
    <w:rsid w:val="449E10AE"/>
    <w:rsid w:val="457A1FA3"/>
    <w:rsid w:val="47076025"/>
    <w:rsid w:val="47965368"/>
    <w:rsid w:val="47FC5A84"/>
    <w:rsid w:val="485E0115"/>
    <w:rsid w:val="48DB5CD4"/>
    <w:rsid w:val="49B457A9"/>
    <w:rsid w:val="4A2B1150"/>
    <w:rsid w:val="4CB06EF5"/>
    <w:rsid w:val="4E7F1F32"/>
    <w:rsid w:val="4EA233CC"/>
    <w:rsid w:val="4F8F5114"/>
    <w:rsid w:val="50D2755C"/>
    <w:rsid w:val="53E6681D"/>
    <w:rsid w:val="543A058C"/>
    <w:rsid w:val="596C00F9"/>
    <w:rsid w:val="59C24248"/>
    <w:rsid w:val="59CF07AF"/>
    <w:rsid w:val="5C1562D2"/>
    <w:rsid w:val="5F2E7B1C"/>
    <w:rsid w:val="618D254A"/>
    <w:rsid w:val="63BB0E33"/>
    <w:rsid w:val="65906A8E"/>
    <w:rsid w:val="66757F43"/>
    <w:rsid w:val="66AB65E6"/>
    <w:rsid w:val="67306280"/>
    <w:rsid w:val="68CF5D7B"/>
    <w:rsid w:val="69706058"/>
    <w:rsid w:val="6D3A75E0"/>
    <w:rsid w:val="6E5002CC"/>
    <w:rsid w:val="6E933480"/>
    <w:rsid w:val="6FF23F77"/>
    <w:rsid w:val="70D11E34"/>
    <w:rsid w:val="720406A0"/>
    <w:rsid w:val="750000A1"/>
    <w:rsid w:val="76E04C57"/>
    <w:rsid w:val="7AC674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63"/>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245"/>
    <w:qFormat/>
    <w:uiPriority w:val="0"/>
    <w:rPr>
      <w:b/>
      <w:bCs/>
    </w:rPr>
  </w:style>
  <w:style w:type="paragraph" w:styleId="16">
    <w:name w:val="annotation text"/>
    <w:basedOn w:val="1"/>
    <w:link w:val="24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style>
  <w:style w:type="paragraph" w:styleId="26">
    <w:name w:val="Note Heading"/>
    <w:basedOn w:val="1"/>
    <w:next w:val="1"/>
    <w:link w:val="217"/>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24"/>
    <w:qFormat/>
    <w:uiPriority w:val="0"/>
    <w:pPr>
      <w:ind w:left="851"/>
    </w:pPr>
  </w:style>
  <w:style w:type="paragraph" w:styleId="30">
    <w:name w:val="List Bullet"/>
    <w:basedOn w:val="14"/>
    <w:qFormat/>
    <w:uiPriority w:val="0"/>
    <w:pPr>
      <w:ind w:left="568" w:hanging="284"/>
      <w:contextualSpacing w:val="0"/>
    </w:pPr>
  </w:style>
  <w:style w:type="paragraph" w:styleId="31">
    <w:name w:val="caption"/>
    <w:basedOn w:val="1"/>
    <w:next w:val="1"/>
    <w:link w:val="131"/>
    <w:unhideWhenUsed/>
    <w:qFormat/>
    <w:uiPriority w:val="0"/>
    <w:pPr>
      <w:spacing w:after="0"/>
    </w:pPr>
    <w:rPr>
      <w:b/>
      <w:bCs/>
      <w:sz w:val="21"/>
      <w:szCs w:val="21"/>
      <w:lang w:val="en-US"/>
    </w:rPr>
  </w:style>
  <w:style w:type="paragraph" w:styleId="32">
    <w:name w:val="Document Map"/>
    <w:basedOn w:val="1"/>
    <w:link w:val="100"/>
    <w:qFormat/>
    <w:uiPriority w:val="99"/>
    <w:rPr>
      <w:rFonts w:ascii="宋体" w:eastAsia="宋体"/>
      <w:sz w:val="18"/>
      <w:szCs w:val="18"/>
    </w:rPr>
  </w:style>
  <w:style w:type="paragraph" w:styleId="33">
    <w:name w:val="Body Text"/>
    <w:basedOn w:val="1"/>
    <w:link w:val="277"/>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9"/>
    <w:qFormat/>
    <w:uiPriority w:val="0"/>
    <w:pPr>
      <w:overflowPunct w:val="0"/>
      <w:autoSpaceDE w:val="0"/>
      <w:autoSpaceDN w:val="0"/>
      <w:adjustRightInd w:val="0"/>
      <w:textAlignment w:val="baseline"/>
    </w:pPr>
    <w:rPr>
      <w:rFonts w:ascii="Courier New" w:hAnsi="Courier New"/>
      <w:lang w:val="nb-NO"/>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13"/>
    <w:qFormat/>
    <w:uiPriority w:val="0"/>
    <w:pPr>
      <w:snapToGrid w:val="0"/>
    </w:pPr>
  </w:style>
  <w:style w:type="paragraph" w:styleId="40">
    <w:name w:val="Balloon Text"/>
    <w:basedOn w:val="1"/>
    <w:link w:val="99"/>
    <w:qFormat/>
    <w:uiPriority w:val="99"/>
    <w:pPr>
      <w:spacing w:after="0"/>
    </w:pPr>
    <w:rPr>
      <w:rFonts w:ascii="Segoe UI" w:hAnsi="Segoe UI" w:cs="Segoe UI"/>
      <w:sz w:val="18"/>
      <w:szCs w:val="18"/>
    </w:rPr>
  </w:style>
  <w:style w:type="paragraph" w:styleId="41">
    <w:name w:val="footer"/>
    <w:basedOn w:val="42"/>
    <w:link w:val="119"/>
    <w:qFormat/>
    <w:uiPriority w:val="0"/>
    <w:pPr>
      <w:jc w:val="center"/>
    </w:pPr>
    <w:rPr>
      <w:i/>
    </w:rPr>
  </w:style>
  <w:style w:type="paragraph" w:styleId="42">
    <w:name w:val="header"/>
    <w:link w:val="11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35"/>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18"/>
    <w:qFormat/>
    <w:uiPriority w:val="0"/>
    <w:pPr>
      <w:overflowPunct w:val="0"/>
      <w:autoSpaceDE w:val="0"/>
      <w:autoSpaceDN w:val="0"/>
      <w:adjustRightInd w:val="0"/>
      <w:textAlignment w:val="baseline"/>
    </w:pPr>
    <w:rPr>
      <w:rFonts w:ascii="Courier New" w:hAnsi="Courier New" w:eastAsia="MS Mincho"/>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qFormat/>
    <w:uiPriority w:val="0"/>
    <w:rPr>
      <w:color w:val="0563C1"/>
      <w:u w:val="single"/>
    </w:rPr>
  </w:style>
  <w:style w:type="character" w:styleId="60">
    <w:name w:val="annotation reference"/>
    <w:qFormat/>
    <w:uiPriority w:val="0"/>
    <w:rPr>
      <w:sz w:val="16"/>
    </w:rPr>
  </w:style>
  <w:style w:type="character" w:styleId="61">
    <w:name w:val="footnote reference"/>
    <w:basedOn w:val="53"/>
    <w:qFormat/>
    <w:uiPriority w:val="0"/>
    <w:rPr>
      <w:position w:val="6"/>
      <w:sz w:val="18"/>
    </w:rPr>
  </w:style>
  <w:style w:type="table" w:styleId="63">
    <w:name w:val="Table Grid"/>
    <w:basedOn w:val="62"/>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4">
    <w:name w:val="EQ"/>
    <w:basedOn w:val="1"/>
    <w:next w:val="1"/>
    <w:link w:val="22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4"/>
    <w:qFormat/>
    <w:uiPriority w:val="0"/>
    <w:pPr>
      <w:keepLines/>
      <w:ind w:left="1135" w:hanging="851"/>
    </w:pPr>
  </w:style>
  <w:style w:type="paragraph" w:customStyle="1" w:styleId="70">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2"/>
    <w:qFormat/>
    <w:uiPriority w:val="0"/>
    <w:pPr>
      <w:keepNext/>
      <w:keepLines/>
      <w:spacing w:after="0"/>
    </w:pPr>
    <w:rPr>
      <w:rFonts w:ascii="Arial" w:hAnsi="Arial"/>
      <w:sz w:val="18"/>
    </w:rPr>
  </w:style>
  <w:style w:type="paragraph" w:customStyle="1" w:styleId="73">
    <w:name w:val="TAH"/>
    <w:basedOn w:val="74"/>
    <w:link w:val="109"/>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6">
    <w:name w:val="EX"/>
    <w:basedOn w:val="1"/>
    <w:link w:val="103"/>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112"/>
    <w:qFormat/>
    <w:uiPriority w:val="0"/>
    <w:pPr>
      <w:ind w:left="568" w:hanging="284"/>
    </w:pPr>
  </w:style>
  <w:style w:type="paragraph" w:customStyle="1" w:styleId="81">
    <w:name w:val="Editor's Note"/>
    <w:basedOn w:val="69"/>
    <w:link w:val="170"/>
    <w:qFormat/>
    <w:uiPriority w:val="0"/>
    <w:rPr>
      <w:color w:val="FF0000"/>
    </w:rPr>
  </w:style>
  <w:style w:type="paragraph" w:customStyle="1" w:styleId="82">
    <w:name w:val="TH"/>
    <w:basedOn w:val="1"/>
    <w:link w:val="110"/>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7">
    <w:name w:val="TAN"/>
    <w:basedOn w:val="72"/>
    <w:link w:val="115"/>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9">
    <w:name w:val="TF"/>
    <w:basedOn w:val="82"/>
    <w:link w:val="106"/>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1">
    <w:name w:val="B2"/>
    <w:basedOn w:val="1"/>
    <w:link w:val="114"/>
    <w:qFormat/>
    <w:uiPriority w:val="0"/>
    <w:pPr>
      <w:ind w:left="851" w:hanging="284"/>
    </w:pPr>
  </w:style>
  <w:style w:type="paragraph" w:customStyle="1" w:styleId="92">
    <w:name w:val="B3"/>
    <w:basedOn w:val="1"/>
    <w:link w:val="166"/>
    <w:qFormat/>
    <w:uiPriority w:val="0"/>
    <w:pPr>
      <w:ind w:left="1135" w:hanging="284"/>
    </w:pPr>
  </w:style>
  <w:style w:type="paragraph" w:customStyle="1" w:styleId="93">
    <w:name w:val="B4"/>
    <w:basedOn w:val="1"/>
    <w:link w:val="171"/>
    <w:qFormat/>
    <w:uiPriority w:val="0"/>
    <w:pPr>
      <w:ind w:left="1418" w:hanging="284"/>
    </w:pPr>
  </w:style>
  <w:style w:type="paragraph" w:customStyle="1" w:styleId="94">
    <w:name w:val="B5"/>
    <w:basedOn w:val="1"/>
    <w:link w:val="172"/>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7"/>
    <w:qFormat/>
    <w:uiPriority w:val="0"/>
    <w:rPr>
      <w:i/>
      <w:color w:val="0000FF"/>
    </w:rPr>
  </w:style>
  <w:style w:type="character" w:customStyle="1" w:styleId="99">
    <w:name w:val="Balloon Text Char"/>
    <w:basedOn w:val="53"/>
    <w:link w:val="40"/>
    <w:qFormat/>
    <w:uiPriority w:val="99"/>
    <w:rPr>
      <w:rFonts w:ascii="Segoe UI" w:hAnsi="Segoe UI" w:cs="Segoe UI"/>
      <w:sz w:val="18"/>
      <w:szCs w:val="18"/>
      <w:lang w:val="en-GB"/>
    </w:rPr>
  </w:style>
  <w:style w:type="character" w:customStyle="1" w:styleId="100">
    <w:name w:val="Document Map Char"/>
    <w:basedOn w:val="53"/>
    <w:link w:val="32"/>
    <w:qFormat/>
    <w:uiPriority w:val="99"/>
    <w:rPr>
      <w:rFonts w:ascii="宋体" w:eastAsia="宋体"/>
      <w:sz w:val="18"/>
      <w:szCs w:val="18"/>
      <w:lang w:val="en-GB"/>
    </w:rPr>
  </w:style>
  <w:style w:type="character" w:customStyle="1" w:styleId="101">
    <w:name w:val="Heading 3 Char"/>
    <w:link w:val="4"/>
    <w:qFormat/>
    <w:uiPriority w:val="0"/>
    <w:rPr>
      <w:rFonts w:ascii="Arial" w:hAnsi="Arial" w:eastAsia="Times New Roman"/>
      <w:sz w:val="28"/>
      <w:lang w:val="en-GB"/>
    </w:rPr>
  </w:style>
  <w:style w:type="character" w:customStyle="1" w:styleId="102">
    <w:name w:val="TAL Char"/>
    <w:link w:val="72"/>
    <w:qFormat/>
    <w:uiPriority w:val="0"/>
    <w:rPr>
      <w:rFonts w:ascii="Arial" w:hAnsi="Arial" w:eastAsia="Times New Roman"/>
      <w:sz w:val="18"/>
      <w:lang w:val="en-GB"/>
    </w:rPr>
  </w:style>
  <w:style w:type="character" w:customStyle="1" w:styleId="103">
    <w:name w:val="EX Car"/>
    <w:link w:val="76"/>
    <w:qFormat/>
    <w:uiPriority w:val="0"/>
    <w:rPr>
      <w:rFonts w:eastAsia="Times New Roman"/>
      <w:lang w:val="en-GB"/>
    </w:rPr>
  </w:style>
  <w:style w:type="character" w:customStyle="1" w:styleId="104">
    <w:name w:val="NO Char"/>
    <w:link w:val="69"/>
    <w:qFormat/>
    <w:uiPriority w:val="0"/>
    <w:rPr>
      <w:rFonts w:eastAsia="Times New Roman"/>
      <w:lang w:val="en-GB"/>
    </w:rPr>
  </w:style>
  <w:style w:type="paragraph" w:styleId="105">
    <w:name w:val="List Paragraph"/>
    <w:basedOn w:val="1"/>
    <w:link w:val="228"/>
    <w:qFormat/>
    <w:uiPriority w:val="34"/>
    <w:pPr>
      <w:ind w:left="720"/>
      <w:contextualSpacing/>
    </w:pPr>
  </w:style>
  <w:style w:type="character" w:customStyle="1" w:styleId="106">
    <w:name w:val="TF Char"/>
    <w:link w:val="89"/>
    <w:qFormat/>
    <w:uiPriority w:val="0"/>
    <w:rPr>
      <w:rFonts w:ascii="Arial" w:hAnsi="Arial" w:eastAsia="Times New Roman"/>
      <w:b/>
      <w:lang w:val="en-GB"/>
    </w:rPr>
  </w:style>
  <w:style w:type="character" w:customStyle="1" w:styleId="107">
    <w:name w:val="Guidance Char"/>
    <w:link w:val="98"/>
    <w:qFormat/>
    <w:uiPriority w:val="0"/>
    <w:rPr>
      <w:rFonts w:eastAsia="Times New Roman"/>
      <w:i/>
      <w:color w:val="0000FF"/>
      <w:lang w:val="en-GB"/>
    </w:rPr>
  </w:style>
  <w:style w:type="character" w:customStyle="1" w:styleId="108">
    <w:name w:val="Heading 4 Char"/>
    <w:link w:val="5"/>
    <w:qFormat/>
    <w:uiPriority w:val="0"/>
    <w:rPr>
      <w:rFonts w:ascii="Arial" w:hAnsi="Arial" w:eastAsia="Times New Roman"/>
      <w:sz w:val="24"/>
      <w:lang w:val="en-GB"/>
    </w:rPr>
  </w:style>
  <w:style w:type="character" w:customStyle="1" w:styleId="109">
    <w:name w:val="TAH Car"/>
    <w:link w:val="73"/>
    <w:qFormat/>
    <w:uiPriority w:val="0"/>
    <w:rPr>
      <w:rFonts w:ascii="Arial" w:hAnsi="Arial" w:eastAsia="Times New Roman"/>
      <w:b/>
      <w:sz w:val="18"/>
      <w:lang w:val="en-GB"/>
    </w:rPr>
  </w:style>
  <w:style w:type="character" w:customStyle="1" w:styleId="110">
    <w:name w:val="TH Char"/>
    <w:link w:val="82"/>
    <w:qFormat/>
    <w:uiPriority w:val="0"/>
    <w:rPr>
      <w:rFonts w:ascii="Arial" w:hAnsi="Arial" w:eastAsia="Times New Roman"/>
      <w:b/>
      <w:lang w:val="en-GB"/>
    </w:rPr>
  </w:style>
  <w:style w:type="character" w:customStyle="1" w:styleId="111">
    <w:name w:val="Heading 2 Char"/>
    <w:link w:val="3"/>
    <w:qFormat/>
    <w:uiPriority w:val="0"/>
    <w:rPr>
      <w:rFonts w:ascii="Arial" w:hAnsi="Arial" w:eastAsia="Times New Roman"/>
      <w:sz w:val="32"/>
      <w:lang w:val="en-GB"/>
    </w:rPr>
  </w:style>
  <w:style w:type="character" w:customStyle="1" w:styleId="112">
    <w:name w:val="B1 Char"/>
    <w:link w:val="80"/>
    <w:qFormat/>
    <w:uiPriority w:val="0"/>
    <w:rPr>
      <w:rFonts w:eastAsia="Times New Roman"/>
      <w:lang w:val="en-GB"/>
    </w:rPr>
  </w:style>
  <w:style w:type="character" w:customStyle="1" w:styleId="113">
    <w:name w:val="TAC Char"/>
    <w:link w:val="74"/>
    <w:qFormat/>
    <w:uiPriority w:val="0"/>
    <w:rPr>
      <w:rFonts w:ascii="Arial" w:hAnsi="Arial" w:eastAsia="Times New Roman"/>
      <w:sz w:val="18"/>
      <w:lang w:val="en-GB"/>
    </w:rPr>
  </w:style>
  <w:style w:type="character" w:customStyle="1" w:styleId="114">
    <w:name w:val="B2 Char"/>
    <w:link w:val="91"/>
    <w:qFormat/>
    <w:uiPriority w:val="0"/>
    <w:rPr>
      <w:rFonts w:eastAsia="Times New Roman"/>
      <w:lang w:val="en-GB"/>
    </w:rPr>
  </w:style>
  <w:style w:type="character" w:customStyle="1" w:styleId="115">
    <w:name w:val="TAN Char"/>
    <w:link w:val="87"/>
    <w:qFormat/>
    <w:locked/>
    <w:uiPriority w:val="0"/>
    <w:rPr>
      <w:rFonts w:ascii="Arial" w:hAnsi="Arial" w:eastAsia="Times New Roman"/>
      <w:sz w:val="18"/>
      <w:lang w:val="en-GB"/>
    </w:rPr>
  </w:style>
  <w:style w:type="paragraph" w:customStyle="1" w:styleId="116">
    <w:name w:val="Revision1"/>
    <w:hidden/>
    <w:semiHidden/>
    <w:qFormat/>
    <w:uiPriority w:val="99"/>
    <w:rPr>
      <w:rFonts w:ascii="Times New Roman" w:hAnsi="Times New Roman" w:cs="Times New Roman" w:eastAsiaTheme="minorEastAsia"/>
      <w:lang w:val="en-GB" w:eastAsia="en-US" w:bidi="ar-SA"/>
    </w:rPr>
  </w:style>
  <w:style w:type="character" w:customStyle="1" w:styleId="117">
    <w:name w:val="Heading 1 Char"/>
    <w:link w:val="2"/>
    <w:qFormat/>
    <w:uiPriority w:val="0"/>
    <w:rPr>
      <w:rFonts w:ascii="Arial" w:hAnsi="Arial" w:eastAsia="Times New Roman"/>
      <w:sz w:val="36"/>
      <w:lang w:val="en-GB"/>
    </w:rPr>
  </w:style>
  <w:style w:type="character" w:customStyle="1" w:styleId="118">
    <w:name w:val="Header Char"/>
    <w:link w:val="42"/>
    <w:qFormat/>
    <w:uiPriority w:val="0"/>
    <w:rPr>
      <w:rFonts w:ascii="Arial" w:hAnsi="Arial" w:eastAsia="Times New Roman"/>
      <w:b/>
      <w:sz w:val="18"/>
      <w:lang w:val="en-GB" w:eastAsia="ja-JP"/>
    </w:rPr>
  </w:style>
  <w:style w:type="character" w:customStyle="1" w:styleId="119">
    <w:name w:val="Footer Char"/>
    <w:link w:val="41"/>
    <w:qFormat/>
    <w:uiPriority w:val="0"/>
    <w:rPr>
      <w:rFonts w:ascii="Arial" w:hAnsi="Arial" w:eastAsia="Times New Roman"/>
      <w:b/>
      <w:i/>
      <w:sz w:val="18"/>
      <w:lang w:val="en-GB" w:eastAsia="ja-JP"/>
    </w:rPr>
  </w:style>
  <w:style w:type="character" w:customStyle="1" w:styleId="120">
    <w:name w:val="href"/>
    <w:basedOn w:val="53"/>
    <w:qFormat/>
    <w:uiPriority w:val="0"/>
  </w:style>
  <w:style w:type="paragraph" w:customStyle="1" w:styleId="12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5">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6">
    <w:name w:val="Table_title"/>
    <w:basedOn w:val="1"/>
    <w:next w:val="12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7">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8">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9">
    <w:name w:val="Table_fin"/>
    <w:basedOn w:val="1"/>
    <w:next w:val="1"/>
    <w:qFormat/>
    <w:uiPriority w:val="0"/>
    <w:pPr>
      <w:suppressAutoHyphens/>
      <w:autoSpaceDN w:val="0"/>
      <w:spacing w:after="0"/>
      <w:jc w:val="both"/>
    </w:pPr>
    <w:rPr>
      <w:rFonts w:eastAsia="Batang"/>
    </w:rPr>
  </w:style>
  <w:style w:type="character" w:customStyle="1" w:styleId="130">
    <w:name w:val="Heading 5 Char"/>
    <w:basedOn w:val="53"/>
    <w:link w:val="6"/>
    <w:qFormat/>
    <w:uiPriority w:val="0"/>
    <w:rPr>
      <w:rFonts w:ascii="Arial" w:hAnsi="Arial" w:eastAsia="Times New Roman"/>
      <w:sz w:val="22"/>
      <w:lang w:val="en-GB"/>
    </w:rPr>
  </w:style>
  <w:style w:type="character" w:customStyle="1" w:styleId="131">
    <w:name w:val="Caption Char"/>
    <w:link w:val="31"/>
    <w:qFormat/>
    <w:uiPriority w:val="0"/>
    <w:rPr>
      <w:rFonts w:eastAsia="Times New Roman"/>
      <w:b/>
      <w:bCs/>
      <w:sz w:val="21"/>
      <w:szCs w:val="21"/>
    </w:rPr>
  </w:style>
  <w:style w:type="paragraph" w:customStyle="1" w:styleId="132">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3">
    <w:name w:val="enumlev2"/>
    <w:basedOn w:val="132"/>
    <w:qFormat/>
    <w:uiPriority w:val="0"/>
    <w:pPr>
      <w:ind w:left="1871" w:hanging="737"/>
    </w:pPr>
  </w:style>
  <w:style w:type="paragraph" w:customStyle="1" w:styleId="134">
    <w:name w:val="enumlev3"/>
    <w:basedOn w:val="133"/>
    <w:qFormat/>
    <w:uiPriority w:val="0"/>
    <w:pPr>
      <w:ind w:left="2268" w:hanging="397"/>
    </w:pPr>
  </w:style>
  <w:style w:type="character" w:customStyle="1" w:styleId="135">
    <w:name w:val="Footnote Text Char"/>
    <w:basedOn w:val="53"/>
    <w:link w:val="45"/>
    <w:qFormat/>
    <w:uiPriority w:val="0"/>
    <w:rPr>
      <w:rFonts w:eastAsia="Times New Roman"/>
      <w:sz w:val="24"/>
      <w:lang w:val="en-GB"/>
    </w:rPr>
  </w:style>
  <w:style w:type="table" w:customStyle="1" w:styleId="136">
    <w:name w:val="Table Grid1"/>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7">
    <w:name w:val="Reference"/>
    <w:basedOn w:val="1"/>
    <w:qFormat/>
    <w:uiPriority w:val="0"/>
    <w:pPr>
      <w:spacing w:after="0"/>
      <w:ind w:left="567" w:hanging="283"/>
    </w:pPr>
    <w:rPr>
      <w:rFonts w:eastAsia="MS Mincho"/>
      <w:lang w:eastAsia="en-GB"/>
    </w:rPr>
  </w:style>
  <w:style w:type="character" w:customStyle="1" w:styleId="138">
    <w:name w:val="Heading 6 Char"/>
    <w:basedOn w:val="53"/>
    <w:link w:val="7"/>
    <w:qFormat/>
    <w:uiPriority w:val="0"/>
    <w:rPr>
      <w:rFonts w:ascii="Arial" w:hAnsi="Arial" w:eastAsia="Times New Roman"/>
      <w:lang w:val="en-GB"/>
    </w:rPr>
  </w:style>
  <w:style w:type="character" w:customStyle="1" w:styleId="139">
    <w:name w:val="Heading 7 Char"/>
    <w:basedOn w:val="53"/>
    <w:link w:val="9"/>
    <w:qFormat/>
    <w:uiPriority w:val="0"/>
    <w:rPr>
      <w:rFonts w:ascii="Arial" w:hAnsi="Arial" w:eastAsia="Times New Roman"/>
      <w:lang w:val="en-GB"/>
    </w:rPr>
  </w:style>
  <w:style w:type="character" w:customStyle="1" w:styleId="140">
    <w:name w:val="Heading 8 Char"/>
    <w:basedOn w:val="53"/>
    <w:link w:val="10"/>
    <w:qFormat/>
    <w:uiPriority w:val="0"/>
    <w:rPr>
      <w:rFonts w:ascii="Arial" w:hAnsi="Arial" w:eastAsia="Times New Roman"/>
      <w:sz w:val="36"/>
      <w:lang w:val="en-GB"/>
    </w:rPr>
  </w:style>
  <w:style w:type="character" w:customStyle="1" w:styleId="141">
    <w:name w:val="Heading 9 Char"/>
    <w:basedOn w:val="53"/>
    <w:link w:val="11"/>
    <w:qFormat/>
    <w:uiPriority w:val="0"/>
    <w:rPr>
      <w:rFonts w:ascii="Arial" w:hAnsi="Arial" w:eastAsia="Times New Roman"/>
      <w:sz w:val="36"/>
      <w:lang w:val="en-GB"/>
    </w:rPr>
  </w:style>
  <w:style w:type="character" w:customStyle="1" w:styleId="142">
    <w:name w:val="st"/>
    <w:basedOn w:val="53"/>
    <w:qFormat/>
    <w:uiPriority w:val="0"/>
  </w:style>
  <w:style w:type="paragraph" w:customStyle="1" w:styleId="143">
    <w:name w:val="tdoc-header"/>
    <w:qFormat/>
    <w:uiPriority w:val="0"/>
    <w:rPr>
      <w:rFonts w:ascii="Arial" w:hAnsi="Arial" w:eastAsia="Times New Roman" w:cs="Times New Roman"/>
      <w:sz w:val="24"/>
      <w:lang w:val="en-GB" w:eastAsia="en-US" w:bidi="ar-SA"/>
    </w:rPr>
  </w:style>
  <w:style w:type="paragraph" w:customStyle="1" w:styleId="144">
    <w:name w:val="INDENT1"/>
    <w:basedOn w:val="1"/>
    <w:qFormat/>
    <w:uiPriority w:val="0"/>
    <w:pPr>
      <w:overflowPunct w:val="0"/>
      <w:autoSpaceDE w:val="0"/>
      <w:autoSpaceDN w:val="0"/>
      <w:adjustRightInd w:val="0"/>
      <w:ind w:left="851"/>
      <w:textAlignment w:val="baseline"/>
    </w:pPr>
    <w:rPr>
      <w:lang w:eastAsia="ja-JP"/>
    </w:rPr>
  </w:style>
  <w:style w:type="paragraph" w:customStyle="1" w:styleId="14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8">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9">
    <w:name w:val="Plain Text Char"/>
    <w:basedOn w:val="53"/>
    <w:link w:val="35"/>
    <w:qFormat/>
    <w:uiPriority w:val="0"/>
    <w:rPr>
      <w:rFonts w:ascii="Courier New" w:hAnsi="Courier New" w:eastAsia="Times New Roman"/>
      <w:lang w:val="nb-NO"/>
    </w:rPr>
  </w:style>
  <w:style w:type="table" w:customStyle="1" w:styleId="150">
    <w:name w:val="Table Grid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1">
    <w:name w:val="TableText"/>
    <w:basedOn w:val="1"/>
    <w:qFormat/>
    <w:uiPriority w:val="0"/>
    <w:pPr>
      <w:keepNext/>
      <w:keepLines/>
      <w:jc w:val="center"/>
    </w:pPr>
    <w:rPr>
      <w:snapToGrid w:val="0"/>
      <w:kern w:val="2"/>
    </w:rPr>
  </w:style>
  <w:style w:type="character" w:customStyle="1" w:styleId="152">
    <w:name w:val="msoins"/>
    <w:qFormat/>
    <w:uiPriority w:val="0"/>
  </w:style>
  <w:style w:type="paragraph" w:customStyle="1" w:styleId="153">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4">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7">
    <w:name w:val="B6"/>
    <w:basedOn w:val="94"/>
    <w:link w:val="176"/>
    <w:qFormat/>
    <w:uiPriority w:val="0"/>
    <w:pPr>
      <w:overflowPunct w:val="0"/>
      <w:autoSpaceDE w:val="0"/>
      <w:autoSpaceDN w:val="0"/>
      <w:adjustRightInd w:val="0"/>
      <w:textAlignment w:val="baseline"/>
    </w:p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9">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0">
    <w:name w:val="Tadc"/>
    <w:basedOn w:val="1"/>
    <w:qFormat/>
    <w:uiPriority w:val="0"/>
    <w:pPr>
      <w:overflowPunct w:val="0"/>
      <w:autoSpaceDE w:val="0"/>
      <w:autoSpaceDN w:val="0"/>
      <w:adjustRightInd w:val="0"/>
      <w:textAlignment w:val="baseline"/>
    </w:pPr>
    <w:rPr>
      <w:rFonts w:cs="v4.2.0"/>
      <w:lang w:eastAsia="en-GB"/>
    </w:rPr>
  </w:style>
  <w:style w:type="character" w:customStyle="1" w:styleId="161">
    <w:name w:val="TAL Car"/>
    <w:qFormat/>
    <w:uiPriority w:val="0"/>
    <w:rPr>
      <w:rFonts w:ascii="Arial" w:hAnsi="Arial"/>
      <w:sz w:val="18"/>
      <w:lang w:val="en-GB" w:eastAsia="ja-JP" w:bidi="ar-SA"/>
    </w:rPr>
  </w:style>
  <w:style w:type="table" w:customStyle="1" w:styleId="162">
    <w:name w:val="Table Grid1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3">
    <w:name w:val="H6 Char"/>
    <w:link w:val="8"/>
    <w:qFormat/>
    <w:uiPriority w:val="0"/>
    <w:rPr>
      <w:rFonts w:ascii="Arial" w:hAnsi="Arial" w:eastAsia="Times New Roman"/>
      <w:lang w:val="en-GB"/>
    </w:rPr>
  </w:style>
  <w:style w:type="character" w:customStyle="1" w:styleId="164">
    <w:name w:val="PL Char"/>
    <w:link w:val="70"/>
    <w:qFormat/>
    <w:uiPriority w:val="0"/>
    <w:rPr>
      <w:rFonts w:ascii="Courier New" w:hAnsi="Courier New" w:eastAsia="Times New Roman"/>
      <w:sz w:val="16"/>
      <w:lang w:val="en-GB"/>
    </w:rPr>
  </w:style>
  <w:style w:type="character" w:customStyle="1" w:styleId="165">
    <w:name w:val="TAC Car"/>
    <w:qFormat/>
    <w:uiPriority w:val="0"/>
  </w:style>
  <w:style w:type="character" w:customStyle="1" w:styleId="166">
    <w:name w:val="B3 Char"/>
    <w:link w:val="92"/>
    <w:qFormat/>
    <w:uiPriority w:val="0"/>
    <w:rPr>
      <w:rFonts w:eastAsia="Times New Roman"/>
      <w:lang w:val="en-GB"/>
    </w:rPr>
  </w:style>
  <w:style w:type="character" w:customStyle="1" w:styleId="167">
    <w:name w:val="TAL (文字)"/>
    <w:qFormat/>
    <w:uiPriority w:val="0"/>
    <w:rPr>
      <w:rFonts w:ascii="Arial" w:hAnsi="Arial"/>
      <w:sz w:val="18"/>
      <w:lang w:val="en-GB"/>
    </w:rPr>
  </w:style>
  <w:style w:type="character" w:customStyle="1" w:styleId="168">
    <w:name w:val="EX Char"/>
    <w:qFormat/>
    <w:uiPriority w:val="0"/>
    <w:rPr>
      <w:rFonts w:ascii="Times New Roman" w:hAnsi="Times New Roman"/>
      <w:lang w:val="en-GB"/>
    </w:rPr>
  </w:style>
  <w:style w:type="paragraph" w:customStyle="1" w:styleId="16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0">
    <w:name w:val="Editor's Note Car Car"/>
    <w:link w:val="81"/>
    <w:qFormat/>
    <w:uiPriority w:val="0"/>
    <w:rPr>
      <w:rFonts w:eastAsia="Times New Roman"/>
      <w:color w:val="FF0000"/>
      <w:lang w:val="en-GB"/>
    </w:rPr>
  </w:style>
  <w:style w:type="character" w:customStyle="1" w:styleId="171">
    <w:name w:val="B4 Char"/>
    <w:link w:val="93"/>
    <w:qFormat/>
    <w:uiPriority w:val="0"/>
    <w:rPr>
      <w:rFonts w:eastAsia="Times New Roman"/>
      <w:lang w:val="en-GB"/>
    </w:rPr>
  </w:style>
  <w:style w:type="character" w:customStyle="1" w:styleId="172">
    <w:name w:val="B5 Char"/>
    <w:link w:val="94"/>
    <w:qFormat/>
    <w:uiPriority w:val="0"/>
    <w:rPr>
      <w:rFonts w:eastAsia="Times New Roman"/>
      <w:lang w:val="en-GB"/>
    </w:rPr>
  </w:style>
  <w:style w:type="character" w:customStyle="1" w:styleId="173">
    <w:name w:val="cap Char6"/>
    <w:qFormat/>
    <w:uiPriority w:val="0"/>
    <w:rPr>
      <w:b/>
      <w:lang w:val="en-GB" w:eastAsia="en-US" w:bidi="ar-SA"/>
    </w:rPr>
  </w:style>
  <w:style w:type="paragraph" w:customStyle="1" w:styleId="174">
    <w:name w:val="Heading"/>
    <w:next w:val="1"/>
    <w:link w:val="175"/>
    <w:qFormat/>
    <w:uiPriority w:val="0"/>
    <w:pPr>
      <w:spacing w:before="360"/>
      <w:ind w:left="2552"/>
    </w:pPr>
    <w:rPr>
      <w:rFonts w:ascii="Arial" w:hAnsi="Arial" w:eastAsia="宋体" w:cs="Times New Roman"/>
      <w:b/>
      <w:sz w:val="22"/>
      <w:lang w:val="en-GB" w:eastAsia="zh-CN" w:bidi="ar-SA"/>
    </w:rPr>
  </w:style>
  <w:style w:type="character" w:customStyle="1" w:styleId="175">
    <w:name w:val="Heading Char"/>
    <w:link w:val="174"/>
    <w:qFormat/>
    <w:uiPriority w:val="0"/>
    <w:rPr>
      <w:rFonts w:ascii="Arial" w:hAnsi="Arial" w:eastAsia="宋体"/>
      <w:b/>
      <w:sz w:val="22"/>
      <w:lang w:val="en-GB" w:eastAsia="zh-CN"/>
    </w:rPr>
  </w:style>
  <w:style w:type="character" w:customStyle="1" w:styleId="176">
    <w:name w:val="B6 Char"/>
    <w:link w:val="157"/>
    <w:qFormat/>
    <w:uiPriority w:val="0"/>
    <w:rPr>
      <w:rFonts w:eastAsia="Times New Roman"/>
    </w:rPr>
  </w:style>
  <w:style w:type="paragraph" w:customStyle="1" w:styleId="177">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9">
    <w:name w:val="Table Style1"/>
    <w:basedOn w:val="62"/>
    <w:qFormat/>
    <w:uiPriority w:val="0"/>
    <w:rPr>
      <w:rFonts w:eastAsia="MS Mincho"/>
      <w:lang w:val="en-GB"/>
    </w:rPr>
    <w:tblPr>
      <w:tblLayout w:type="fixed"/>
      <w:tblCellMar>
        <w:top w:w="0" w:type="dxa"/>
        <w:left w:w="108" w:type="dxa"/>
        <w:bottom w:w="0" w:type="dxa"/>
        <w:right w:w="108" w:type="dxa"/>
      </w:tblCellMar>
    </w:tblPr>
  </w:style>
  <w:style w:type="paragraph" w:customStyle="1" w:styleId="180">
    <w:name w:val="Bullet"/>
    <w:basedOn w:val="1"/>
    <w:qFormat/>
    <w:uiPriority w:val="0"/>
    <w:pPr>
      <w:tabs>
        <w:tab w:val="left" w:pos="926"/>
      </w:tabs>
      <w:ind w:left="926" w:hanging="360"/>
    </w:pPr>
    <w:rPr>
      <w:rFonts w:eastAsia="MS Mincho"/>
      <w:lang w:eastAsia="ja-JP"/>
    </w:rPr>
  </w:style>
  <w:style w:type="paragraph" w:customStyle="1" w:styleId="181">
    <w:name w:val="TOC 91"/>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88">
    <w:name w:val="FooterCentred"/>
    <w:basedOn w:val="41"/>
    <w:qFormat/>
    <w:uiPriority w:val="0"/>
    <w:pPr>
      <w:tabs>
        <w:tab w:val="center" w:pos="4678"/>
        <w:tab w:val="right" w:pos="9356"/>
      </w:tabs>
      <w:jc w:val="both"/>
    </w:pPr>
    <w:rPr>
      <w:rFonts w:ascii="Times New Roman" w:hAnsi="Times New Roman" w:eastAsia="MS Mincho"/>
      <w:b w:val="0"/>
      <w:i w:val="0"/>
      <w:sz w:val="20"/>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2">
    <w:name w:val="TableTitle"/>
    <w:basedOn w:val="1"/>
    <w:qFormat/>
    <w:uiPriority w:val="0"/>
    <w:pPr>
      <w:keepNext/>
      <w:keepLines/>
      <w:spacing w:after="60"/>
      <w:ind w:left="210"/>
      <w:jc w:val="center"/>
    </w:pPr>
    <w:rPr>
      <w:rFonts w:ascii="CG Times (WN)" w:hAnsi="CG Times (WN)"/>
      <w:b/>
      <w:lang w:eastAsia="ja-JP"/>
    </w:rPr>
  </w:style>
  <w:style w:type="paragraph" w:customStyle="1" w:styleId="1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5">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6">
    <w:name w:val="Tdoc_table"/>
    <w:qFormat/>
    <w:uiPriority w:val="0"/>
    <w:pPr>
      <w:ind w:left="244" w:hanging="244"/>
    </w:pPr>
    <w:rPr>
      <w:rFonts w:ascii="Arial" w:hAnsi="Arial" w:eastAsia="MS Mincho" w:cs="Times New Roman"/>
      <w:color w:val="000000"/>
      <w:lang w:val="en-GB" w:eastAsia="en-US" w:bidi="ar-SA"/>
    </w:rPr>
  </w:style>
  <w:style w:type="paragraph" w:customStyle="1" w:styleId="19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8">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0">
    <w:name w:val="Tabellengitternetz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1">
    <w:name w:val="Tabellengitternetz2"/>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2">
    <w:name w:val="Tabellengitternetz3"/>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3">
    <w:name w:val="Tabellengitternetz4"/>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4">
    <w:name w:val="Tabellengitternetz5"/>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5">
    <w:name w:val="Tabellengitternetz6"/>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6">
    <w:name w:val="Tabellengitternetz7"/>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7">
    <w:name w:val="Tabellengitternetz8"/>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8">
    <w:name w:val="Tabellengitternetz9"/>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9">
    <w:name w:val="Table Grid21"/>
    <w:basedOn w:val="62"/>
    <w:qFormat/>
    <w:uiPriority w:val="0"/>
    <w:pPr>
      <w:overflowPunct w:val="0"/>
      <w:autoSpaceDE w:val="0"/>
      <w:autoSpaceDN w:val="0"/>
      <w:adjustRightInd w:val="0"/>
      <w:spacing w:after="180"/>
      <w:textAlignment w:val="baseline"/>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10">
    <w:name w:val="Table Grid3"/>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11">
    <w:name w:val="수정"/>
    <w:hidden/>
    <w:semiHidden/>
    <w:qFormat/>
    <w:uiPriority w:val="0"/>
    <w:rPr>
      <w:rFonts w:ascii="Times New Roman" w:hAnsi="Times New Roman" w:eastAsia="Batang" w:cs="Times New Roman"/>
      <w:lang w:val="en-GB" w:eastAsia="en-US" w:bidi="ar-SA"/>
    </w:rPr>
  </w:style>
  <w:style w:type="paragraph" w:customStyle="1" w:styleId="212">
    <w:name w:val="修订1"/>
    <w:hidden/>
    <w:semiHidden/>
    <w:qFormat/>
    <w:uiPriority w:val="0"/>
    <w:rPr>
      <w:rFonts w:ascii="Times New Roman" w:hAnsi="Times New Roman" w:eastAsia="Batang" w:cs="Times New Roman"/>
      <w:lang w:val="en-GB" w:eastAsia="en-US" w:bidi="ar-SA"/>
    </w:rPr>
  </w:style>
  <w:style w:type="character" w:customStyle="1" w:styleId="213">
    <w:name w:val="Endnote Text Char"/>
    <w:basedOn w:val="53"/>
    <w:link w:val="39"/>
    <w:qFormat/>
    <w:uiPriority w:val="0"/>
    <w:rPr>
      <w:rFonts w:eastAsia="Times New Roman"/>
    </w:rPr>
  </w:style>
  <w:style w:type="paragraph" w:customStyle="1" w:styleId="214">
    <w:name w:val="変更箇所"/>
    <w:hidden/>
    <w:semiHidden/>
    <w:qFormat/>
    <w:uiPriority w:val="0"/>
    <w:rPr>
      <w:rFonts w:ascii="Times New Roman" w:hAnsi="Times New Roman" w:eastAsia="MS Mincho" w:cs="Times New Roman"/>
      <w:lang w:val="en-GB" w:eastAsia="en-US" w:bidi="ar-SA"/>
    </w:rPr>
  </w:style>
  <w:style w:type="paragraph" w:customStyle="1" w:styleId="215">
    <w:name w:val="NB2"/>
    <w:basedOn w:val="90"/>
    <w:qFormat/>
    <w:uiPriority w:val="0"/>
    <w:rPr>
      <w:lang w:eastAsia="ja-JP"/>
    </w:rPr>
  </w:style>
  <w:style w:type="paragraph" w:customStyle="1" w:styleId="216">
    <w:name w:val="table entry"/>
    <w:basedOn w:val="1"/>
    <w:qFormat/>
    <w:uiPriority w:val="0"/>
    <w:pPr>
      <w:keepNext/>
      <w:spacing w:before="60" w:after="60"/>
    </w:pPr>
    <w:rPr>
      <w:rFonts w:ascii="Bookman Old Style" w:hAnsi="Bookman Old Style" w:eastAsia="宋体"/>
      <w:lang w:val="en-US" w:eastAsia="ja-JP"/>
    </w:rPr>
  </w:style>
  <w:style w:type="character" w:customStyle="1" w:styleId="217">
    <w:name w:val="Note Heading Char"/>
    <w:basedOn w:val="53"/>
    <w:link w:val="26"/>
    <w:qFormat/>
    <w:uiPriority w:val="0"/>
    <w:rPr>
      <w:rFonts w:eastAsia="MS Mincho"/>
    </w:rPr>
  </w:style>
  <w:style w:type="character" w:customStyle="1" w:styleId="218">
    <w:name w:val="HTML Preformatted Char"/>
    <w:basedOn w:val="53"/>
    <w:link w:val="49"/>
    <w:qFormat/>
    <w:uiPriority w:val="0"/>
    <w:rPr>
      <w:rFonts w:ascii="Courier New" w:hAnsi="Courier New" w:eastAsia="MS Mincho"/>
    </w:rPr>
  </w:style>
  <w:style w:type="character" w:customStyle="1" w:styleId="219">
    <w:name w:val="Editor's Note Char"/>
    <w:qFormat/>
    <w:uiPriority w:val="0"/>
    <w:rPr>
      <w:rFonts w:ascii="Times New Roman" w:hAnsi="Times New Roman"/>
      <w:color w:val="FF0000"/>
      <w:lang w:val="en-GB" w:eastAsia="en-US"/>
    </w:rPr>
  </w:style>
  <w:style w:type="character" w:customStyle="1" w:styleId="220">
    <w:name w:val="EQ Char"/>
    <w:link w:val="64"/>
    <w:qFormat/>
    <w:uiPriority w:val="0"/>
    <w:rPr>
      <w:rFonts w:eastAsia="Times New Roman"/>
      <w:lang w:val="en-GB"/>
    </w:rPr>
  </w:style>
  <w:style w:type="table" w:customStyle="1" w:styleId="221">
    <w:name w:val="Table Grid4"/>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2">
    <w:name w:val="Table Grid5"/>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3">
    <w:name w:val="Table Grid6"/>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4">
    <w:name w:val="List Bullet 2 Char"/>
    <w:link w:val="29"/>
    <w:qFormat/>
    <w:uiPriority w:val="0"/>
    <w:rPr>
      <w:rFonts w:eastAsia="Times New Roman"/>
    </w:rPr>
  </w:style>
  <w:style w:type="paragraph" w:customStyle="1" w:styleId="225">
    <w:name w:val="TOC 92"/>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8">
    <w:name w:val="List Paragraph Char"/>
    <w:link w:val="105"/>
    <w:qFormat/>
    <w:locked/>
    <w:uiPriority w:val="34"/>
    <w:rPr>
      <w:lang w:val="en-GB"/>
    </w:rPr>
  </w:style>
  <w:style w:type="paragraph" w:customStyle="1" w:styleId="229">
    <w:name w:val="TOC 93"/>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2">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3">
    <w:name w:val="Intense Emphasis1"/>
    <w:qFormat/>
    <w:uiPriority w:val="21"/>
    <w:rPr>
      <w:b/>
      <w:bCs/>
      <w:i/>
      <w:iCs/>
      <w:color w:val="4F81BD"/>
    </w:rPr>
  </w:style>
  <w:style w:type="paragraph" w:customStyle="1" w:styleId="23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5">
    <w:name w:val="tac"/>
    <w:basedOn w:val="1"/>
    <w:qFormat/>
    <w:uiPriority w:val="0"/>
    <w:pPr>
      <w:keepNext/>
      <w:spacing w:after="0"/>
      <w:jc w:val="center"/>
    </w:pPr>
    <w:rPr>
      <w:rFonts w:ascii="Arial" w:hAnsi="Arial" w:eastAsia="PMingLiU" w:cs="Arial"/>
      <w:sz w:val="18"/>
      <w:szCs w:val="18"/>
      <w:lang w:eastAsia="zh-TW"/>
    </w:rPr>
  </w:style>
  <w:style w:type="paragraph" w:customStyle="1" w:styleId="236">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7">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3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9">
    <w:name w:val="st1"/>
    <w:basedOn w:val="53"/>
    <w:qFormat/>
    <w:uiPriority w:val="0"/>
  </w:style>
  <w:style w:type="paragraph" w:customStyle="1" w:styleId="24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1">
    <w:name w:val="Placeholder Text"/>
    <w:basedOn w:val="53"/>
    <w:semiHidden/>
    <w:qFormat/>
    <w:uiPriority w:val="99"/>
    <w:rPr>
      <w:color w:val="808080"/>
    </w:rPr>
  </w:style>
  <w:style w:type="paragraph" w:customStyle="1" w:styleId="242">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 w:type="character" w:customStyle="1" w:styleId="243">
    <w:name w:val="Comment Text Char"/>
    <w:basedOn w:val="53"/>
    <w:link w:val="16"/>
    <w:qFormat/>
    <w:uiPriority w:val="99"/>
    <w:rPr>
      <w:rFonts w:eastAsia="Times New Roman"/>
      <w:lang w:val="en-GB"/>
    </w:rPr>
  </w:style>
  <w:style w:type="paragraph" w:customStyle="1" w:styleId="244">
    <w:name w:val="CR Cover Page"/>
    <w:link w:val="250"/>
    <w:qFormat/>
    <w:uiPriority w:val="0"/>
    <w:pPr>
      <w:spacing w:after="120"/>
    </w:pPr>
    <w:rPr>
      <w:rFonts w:ascii="Arial" w:hAnsi="Arial" w:eastAsia="Times New Roman" w:cs="Times New Roman"/>
      <w:lang w:val="en-GB" w:eastAsia="en-US" w:bidi="ar-SA"/>
    </w:rPr>
  </w:style>
  <w:style w:type="character" w:customStyle="1" w:styleId="245">
    <w:name w:val="Comment Subject Char"/>
    <w:basedOn w:val="243"/>
    <w:link w:val="15"/>
    <w:qFormat/>
    <w:uiPriority w:val="0"/>
    <w:rPr>
      <w:rFonts w:eastAsia="Times New Roman"/>
      <w:b/>
      <w:bCs/>
      <w:lang w:val="en-GB"/>
    </w:rPr>
  </w:style>
  <w:style w:type="character" w:customStyle="1" w:styleId="246">
    <w:name w:val="B3 Char2"/>
    <w:basedOn w:val="53"/>
    <w:qFormat/>
    <w:uiPriority w:val="0"/>
    <w:rPr>
      <w:rFonts w:ascii="Times New Roman" w:hAnsi="Times New Roman"/>
      <w:lang w:val="en-GB" w:eastAsia="en-US"/>
    </w:rPr>
  </w:style>
  <w:style w:type="paragraph" w:customStyle="1" w:styleId="247">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M5 Char"/>
    <w:qFormat/>
    <w:uiPriority w:val="0"/>
    <w:rPr>
      <w:rFonts w:ascii="Arial" w:hAnsi="Arial"/>
      <w:sz w:val="22"/>
      <w:lang w:val="en-GB" w:eastAsia="en-US"/>
    </w:rPr>
  </w:style>
  <w:style w:type="paragraph" w:customStyle="1" w:styleId="2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0">
    <w:name w:val="CR Cover Page Char"/>
    <w:link w:val="244"/>
    <w:qFormat/>
    <w:uiPriority w:val="0"/>
    <w:rPr>
      <w:rFonts w:ascii="Arial" w:hAnsi="Arial" w:eastAsia="Times New Roman"/>
      <w:lang w:val="en-GB"/>
    </w:rPr>
  </w:style>
  <w:style w:type="table" w:customStyle="1" w:styleId="251">
    <w:name w:val="Table Grid7"/>
    <w:basedOn w:val="62"/>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2">
    <w:name w:val="Table Grid12"/>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3">
    <w:name w:val="Table Grid2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4">
    <w:name w:val="Table Grid11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5">
    <w:name w:val="Table Style11"/>
    <w:basedOn w:val="62"/>
    <w:qFormat/>
    <w:uiPriority w:val="0"/>
    <w:rPr>
      <w:rFonts w:eastAsia="MS Mincho"/>
      <w:lang w:val="en-GB"/>
    </w:rPr>
    <w:tblPr>
      <w:tblLayout w:type="fixed"/>
      <w:tblCellMar>
        <w:top w:w="0" w:type="dxa"/>
        <w:left w:w="108" w:type="dxa"/>
        <w:bottom w:w="0" w:type="dxa"/>
        <w:right w:w="108" w:type="dxa"/>
      </w:tblCellMar>
    </w:tblPr>
  </w:style>
  <w:style w:type="table" w:customStyle="1" w:styleId="256">
    <w:name w:val="Tabellengitternetz1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7">
    <w:name w:val="Tabellengitternetz2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8">
    <w:name w:val="Tabellengitternetz3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9">
    <w:name w:val="Tabellengitternetz4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0">
    <w:name w:val="Tabellengitternetz5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1">
    <w:name w:val="Tabellengitternetz6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2">
    <w:name w:val="Tabellengitternetz7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3">
    <w:name w:val="Tabellengitternetz8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4">
    <w:name w:val="Tabellengitternetz9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5">
    <w:name w:val="Table Grid211"/>
    <w:basedOn w:val="62"/>
    <w:qFormat/>
    <w:uiPriority w:val="0"/>
    <w:pPr>
      <w:overflowPunct w:val="0"/>
      <w:autoSpaceDE w:val="0"/>
      <w:autoSpaceDN w:val="0"/>
      <w:adjustRightInd w:val="0"/>
      <w:spacing w:after="180"/>
      <w:textAlignment w:val="baseline"/>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6">
    <w:name w:val="Table Grid31"/>
    <w:basedOn w:val="62"/>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7">
    <w:name w:val="Table Grid4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8">
    <w:name w:val="Table Grid5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9">
    <w:name w:val="Table Grid6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0">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1">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2">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3">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4">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5">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6">
    <w:name w:val="Unresolved Mention1"/>
    <w:semiHidden/>
    <w:unhideWhenUsed/>
    <w:qFormat/>
    <w:uiPriority w:val="99"/>
    <w:rPr>
      <w:color w:val="808080"/>
      <w:shd w:val="clear" w:color="auto" w:fill="E6E6E6"/>
    </w:rPr>
  </w:style>
  <w:style w:type="character" w:customStyle="1" w:styleId="277">
    <w:name w:val="Body Text Char"/>
    <w:basedOn w:val="53"/>
    <w:link w:val="33"/>
    <w:qFormat/>
    <w:uiPriority w:val="99"/>
    <w:rPr>
      <w:lang w:val="en-GB"/>
    </w:rPr>
  </w:style>
  <w:style w:type="table" w:customStyle="1" w:styleId="278">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9">
    <w:name w:val="Unresolved Mention2"/>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20377E-8670-4808-AC5E-D21A483D1B06}">
  <ds:schemaRefs/>
</ds:datastoreItem>
</file>

<file path=docProps/app.xml><?xml version="1.0" encoding="utf-8"?>
<Properties xmlns="http://schemas.openxmlformats.org/officeDocument/2006/extended-properties" xmlns:vt="http://schemas.openxmlformats.org/officeDocument/2006/docPropsVTypes">
  <Template>3gpp_70</Template>
  <Company>www.zte.com.cn</Company>
  <Pages>1</Pages>
  <Words>2719</Words>
  <Characters>15501</Characters>
  <Lines>129</Lines>
  <Paragraphs>36</Paragraphs>
  <TotalTime>0</TotalTime>
  <ScaleCrop>false</ScaleCrop>
  <LinksUpToDate>false</LinksUpToDate>
  <CharactersWithSpaces>18184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2019-05-27T10:42:00Z</dcterms:created>
  <dc:creator>MCC Support</dc:creator>
  <cp:lastModifiedBy>10164289</cp:lastModifiedBy>
  <dcterms:modified xsi:type="dcterms:W3CDTF">2019-11-21T14:06:10Z</dcterms:modified>
  <dc:subject>NR; Base Station (BS) conformance testing Part 2: Radiated conformance testing (Release 15)</dc:subject>
  <dc:title>3GPP TS 38.141-2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KSOProductBuildVer">
    <vt:lpwstr>2052-10.8.2.6613</vt:lpwstr>
  </property>
</Properties>
</file>